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3.0 -->
  <w:body>
    <w:p w:rsidR="00C42AB7" w:rsidRPr="00C42AB7" w:rsidP="00C42AB7" w14:paraId="2FDA0EB9" w14:textId="77777777">
      <w:pPr>
        <w:suppressLineNumbers/>
        <w:spacing w:line="259" w:lineRule="auto"/>
        <w:jc w:val="center"/>
        <w:rPr>
          <w:rFonts w:ascii="Times New Roman" w:eastAsia="Calibri" w:hAnsi="Times New Roman" w:cs="Times New Roman"/>
          <w:b/>
          <w:bCs/>
          <w:sz w:val="24"/>
          <w:szCs w:val="24"/>
        </w:rPr>
      </w:pPr>
      <w:bookmarkStart w:id="0" w:name="_Hlk157605327"/>
      <w:r w:rsidRPr="00C42AB7">
        <w:rPr>
          <w:rFonts w:ascii="Times New Roman" w:eastAsia="Calibri" w:hAnsi="Times New Roman" w:cs="Times New Roman"/>
          <w:b/>
          <w:bCs/>
          <w:sz w:val="24"/>
          <w:szCs w:val="24"/>
        </w:rPr>
        <w:t>BEFORE THE GEORGIA PUBLIC SERVICE COMMISSION</w:t>
      </w:r>
    </w:p>
    <w:bookmarkEnd w:id="0"/>
    <w:p w:rsidR="00C42AB7" w:rsidRPr="00C42AB7" w:rsidP="00C42AB7" w14:paraId="5B739411" w14:textId="77777777">
      <w:pPr>
        <w:suppressLineNumbers/>
        <w:spacing w:after="160" w:line="259" w:lineRule="auto"/>
        <w:jc w:val="center"/>
        <w:rPr>
          <w:rFonts w:ascii="Times New Roman" w:eastAsia="Calibri" w:hAnsi="Times New Roman" w:cs="Times New Roman"/>
          <w:b/>
          <w:bCs/>
          <w:sz w:val="24"/>
          <w:szCs w:val="24"/>
        </w:rPr>
      </w:pPr>
      <w:r w:rsidRPr="00C42AB7">
        <w:rPr>
          <w:rFonts w:ascii="Times New Roman" w:eastAsia="Calibri" w:hAnsi="Times New Roman" w:cs="Times New Roman"/>
          <w:b/>
          <w:bCs/>
          <w:sz w:val="24"/>
          <w:szCs w:val="24"/>
        </w:rPr>
        <w:t>STATE OF GEORGIA</w:t>
      </w:r>
    </w:p>
    <w:p w:rsidR="00C42AB7" w:rsidRPr="00C42AB7" w:rsidP="00C42AB7" w14:paraId="7C04273D" w14:textId="77777777">
      <w:pPr>
        <w:suppressLineNumbers/>
        <w:rPr>
          <w:rFonts w:ascii="Times New Roman" w:eastAsia="Calibri" w:hAnsi="Times New Roman" w:cs="Times New Roman"/>
          <w:b/>
          <w:bCs/>
          <w:sz w:val="24"/>
          <w:szCs w:val="24"/>
        </w:rPr>
      </w:pPr>
    </w:p>
    <w:tbl>
      <w:tblPr>
        <w:tblW w:w="0" w:type="auto"/>
        <w:tblBorders>
          <w:insideH w:val="single" w:sz="4" w:space="0" w:color="auto"/>
          <w:insideV w:val="single" w:sz="4" w:space="0" w:color="auto"/>
        </w:tblBorders>
        <w:tblLook w:val="04A0"/>
      </w:tblPr>
      <w:tblGrid>
        <w:gridCol w:w="4659"/>
        <w:gridCol w:w="4669"/>
      </w:tblGrid>
      <w:tr w14:paraId="6A8B5B32" w14:textId="77777777" w:rsidTr="00F520DB">
        <w:tblPrEx>
          <w:tblW w:w="0" w:type="auto"/>
          <w:tblBorders>
            <w:insideH w:val="single" w:sz="4" w:space="0" w:color="auto"/>
            <w:insideV w:val="single" w:sz="4" w:space="0" w:color="auto"/>
          </w:tblBorders>
          <w:tblLook w:val="04A0"/>
        </w:tblPrEx>
        <w:trPr>
          <w:trHeight w:val="2124"/>
        </w:trPr>
        <w:tc>
          <w:tcPr>
            <w:tcW w:w="4659" w:type="dxa"/>
            <w:tcBorders>
              <w:top w:val="nil"/>
              <w:left w:val="nil"/>
              <w:bottom w:val="single" w:sz="4" w:space="0" w:color="auto"/>
              <w:right w:val="single" w:sz="4" w:space="0" w:color="auto"/>
            </w:tcBorders>
          </w:tcPr>
          <w:p w:rsidR="00C42AB7" w:rsidRPr="00C42AB7" w:rsidP="00C42AB7" w14:paraId="466251E9" w14:textId="77777777">
            <w:pPr>
              <w:suppressAutoHyphens/>
              <w:rPr>
                <w:rFonts w:ascii="Times New Roman" w:eastAsia="SimSun" w:hAnsi="Times New Roman" w:cs="Times New Roman"/>
                <w:b/>
                <w:bCs/>
                <w:sz w:val="24"/>
                <w:szCs w:val="20"/>
              </w:rPr>
            </w:pPr>
          </w:p>
          <w:p w:rsidR="00C42AB7" w:rsidRPr="00C42AB7" w:rsidP="00C42AB7" w14:paraId="44ED3023" w14:textId="77777777">
            <w:pPr>
              <w:suppressAutoHyphens/>
              <w:rPr>
                <w:rFonts w:ascii="Times New Roman" w:eastAsia="SimSun" w:hAnsi="Times New Roman" w:cs="Times New Roman"/>
                <w:b/>
                <w:bCs/>
                <w:sz w:val="24"/>
                <w:szCs w:val="20"/>
              </w:rPr>
            </w:pPr>
            <w:r w:rsidRPr="00C42AB7">
              <w:rPr>
                <w:rFonts w:ascii="Times New Roman" w:eastAsia="SimSun" w:hAnsi="Times New Roman" w:cs="Times New Roman"/>
                <w:b/>
                <w:bCs/>
                <w:sz w:val="24"/>
                <w:szCs w:val="20"/>
              </w:rPr>
              <w:t>IN RE:</w:t>
            </w:r>
          </w:p>
          <w:p w:rsidR="00C42AB7" w:rsidRPr="00C42AB7" w:rsidP="00C42AB7" w14:paraId="5A5C760C" w14:textId="77777777">
            <w:pPr>
              <w:suppressAutoHyphens/>
              <w:rPr>
                <w:rFonts w:ascii="Times New Roman" w:eastAsia="SimSun" w:hAnsi="Times New Roman" w:cs="Times New Roman"/>
                <w:b/>
                <w:bCs/>
                <w:sz w:val="24"/>
                <w:szCs w:val="20"/>
              </w:rPr>
            </w:pPr>
          </w:p>
          <w:p w:rsidR="00C42AB7" w:rsidRPr="00C42AB7" w:rsidP="00C42AB7" w14:paraId="28298134" w14:textId="77777777">
            <w:pPr>
              <w:suppressAutoHyphens/>
              <w:rPr>
                <w:rFonts w:ascii="Times New Roman" w:eastAsia="SimSun" w:hAnsi="Times New Roman" w:cs="Times New Roman"/>
                <w:b/>
                <w:bCs/>
                <w:sz w:val="24"/>
                <w:szCs w:val="20"/>
              </w:rPr>
            </w:pPr>
            <w:r w:rsidRPr="00C42AB7">
              <w:rPr>
                <w:rFonts w:ascii="Times New Roman" w:eastAsia="SimSun" w:hAnsi="Times New Roman" w:cs="Times New Roman"/>
                <w:b/>
                <w:bCs/>
                <w:sz w:val="24"/>
                <w:szCs w:val="20"/>
              </w:rPr>
              <w:t>ATLANTA GAS LIGHT COMPANY’S 2025-2034 INTEGRATED CAPACITY AND DELIVERY PLAN</w:t>
            </w:r>
          </w:p>
          <w:p w:rsidR="00C42AB7" w:rsidRPr="00C42AB7" w:rsidP="00C42AB7" w14:paraId="5B4E6F5F" w14:textId="77777777">
            <w:pPr>
              <w:suppressAutoHyphens/>
              <w:rPr>
                <w:rFonts w:ascii="Times New Roman" w:eastAsia="SimSun" w:hAnsi="Times New Roman" w:cs="Times New Roman"/>
                <w:b/>
                <w:bCs/>
                <w:sz w:val="24"/>
                <w:szCs w:val="20"/>
              </w:rPr>
            </w:pPr>
          </w:p>
        </w:tc>
        <w:tc>
          <w:tcPr>
            <w:tcW w:w="4669" w:type="dxa"/>
            <w:tcBorders>
              <w:top w:val="nil"/>
              <w:left w:val="single" w:sz="4" w:space="0" w:color="auto"/>
              <w:bottom w:val="nil"/>
              <w:right w:val="nil"/>
            </w:tcBorders>
          </w:tcPr>
          <w:p w:rsidR="00C42AB7" w:rsidRPr="00C42AB7" w:rsidP="00C42AB7" w14:paraId="6B13744A" w14:textId="77777777">
            <w:pPr>
              <w:suppressAutoHyphens/>
              <w:ind w:left="899"/>
              <w:rPr>
                <w:rFonts w:ascii="Times New Roman" w:eastAsia="SimSun" w:hAnsi="Times New Roman" w:cs="Times New Roman"/>
                <w:sz w:val="24"/>
                <w:szCs w:val="20"/>
              </w:rPr>
            </w:pPr>
          </w:p>
          <w:p w:rsidR="00C42AB7" w:rsidRPr="00C42AB7" w:rsidP="00C42AB7" w14:paraId="6461207C" w14:textId="77777777">
            <w:pPr>
              <w:suppressAutoHyphens/>
              <w:ind w:left="899"/>
              <w:rPr>
                <w:rFonts w:ascii="Times New Roman" w:eastAsia="SimSun" w:hAnsi="Times New Roman" w:cs="Times New Roman"/>
                <w:b/>
                <w:bCs/>
                <w:sz w:val="24"/>
                <w:szCs w:val="20"/>
              </w:rPr>
            </w:pPr>
          </w:p>
          <w:p w:rsidR="00C42AB7" w:rsidRPr="00C42AB7" w:rsidP="00C42AB7" w14:paraId="7D281A92" w14:textId="77777777">
            <w:pPr>
              <w:suppressAutoHyphens/>
              <w:ind w:left="899"/>
              <w:rPr>
                <w:rFonts w:ascii="Times New Roman" w:eastAsia="SimSun" w:hAnsi="Times New Roman" w:cs="Times New Roman"/>
                <w:b/>
                <w:bCs/>
                <w:sz w:val="24"/>
                <w:szCs w:val="20"/>
              </w:rPr>
            </w:pPr>
            <w:r w:rsidRPr="00C42AB7">
              <w:rPr>
                <w:rFonts w:ascii="Times New Roman" w:eastAsia="SimSun" w:hAnsi="Times New Roman" w:cs="Times New Roman"/>
                <w:b/>
                <w:bCs/>
                <w:sz w:val="24"/>
                <w:szCs w:val="20"/>
              </w:rPr>
              <w:t>Docket No. 43820</w:t>
            </w:r>
          </w:p>
          <w:p w:rsidR="00C42AB7" w:rsidRPr="00C42AB7" w:rsidP="00C42AB7" w14:paraId="069057F7" w14:textId="77777777">
            <w:pPr>
              <w:suppressAutoHyphens/>
              <w:rPr>
                <w:rFonts w:ascii="Times New Roman" w:eastAsia="SimSun" w:hAnsi="Times New Roman" w:cs="Times New Roman"/>
                <w:sz w:val="24"/>
                <w:szCs w:val="20"/>
              </w:rPr>
            </w:pPr>
          </w:p>
        </w:tc>
      </w:tr>
    </w:tbl>
    <w:p w:rsidR="00C42AB7" w:rsidRPr="00C42AB7" w:rsidP="00C42AB7" w14:paraId="7F367D67" w14:textId="77777777">
      <w:pPr>
        <w:suppressLineNumbers/>
        <w:rPr>
          <w:rFonts w:ascii="Times New Roman" w:eastAsia="Calibri" w:hAnsi="Times New Roman" w:cs="Times New Roman"/>
          <w:sz w:val="28"/>
          <w:szCs w:val="28"/>
        </w:rPr>
      </w:pPr>
      <w:r w:rsidRPr="00C42AB7">
        <w:rPr>
          <w:rFonts w:ascii="Times New Roman" w:eastAsia="Calibri" w:hAnsi="Times New Roman" w:cs="Times New Roman"/>
          <w:b/>
          <w:bCs/>
          <w:sz w:val="24"/>
          <w:szCs w:val="24"/>
        </w:rPr>
        <w:tab/>
      </w:r>
    </w:p>
    <w:p w:rsidR="004B25F0" w:rsidP="004B25F0" w14:paraId="6875DC5D" w14:textId="77777777">
      <w:pPr>
        <w:suppressLineNumbers/>
        <w:jc w:val="center"/>
        <w:rPr>
          <w:rFonts w:ascii="Times New Roman" w:hAnsi="Times New Roman" w:cs="Times New Roman"/>
          <w:b/>
          <w:sz w:val="24"/>
          <w:szCs w:val="24"/>
          <w:u w:val="single"/>
        </w:rPr>
      </w:pPr>
    </w:p>
    <w:p w:rsidR="004B25F0" w:rsidRPr="00FB3832" w:rsidP="00FB3832" w14:paraId="0C93D70C" w14:textId="71480F4C">
      <w:pPr>
        <w:suppressLineNumbers/>
        <w:jc w:val="center"/>
        <w:rPr>
          <w:rFonts w:ascii="Times New Roman" w:hAnsi="Times New Roman" w:cs="Times New Roman"/>
          <w:b/>
          <w:sz w:val="24"/>
          <w:szCs w:val="24"/>
          <w:u w:val="single"/>
        </w:rPr>
      </w:pPr>
      <w:r>
        <w:rPr>
          <w:rFonts w:ascii="Times New Roman" w:hAnsi="Times New Roman" w:cs="Times New Roman"/>
          <w:b/>
          <w:sz w:val="24"/>
          <w:szCs w:val="24"/>
          <w:u w:val="single"/>
        </w:rPr>
        <w:t>ATLANTA GAS LIGHT C</w:t>
      </w:r>
      <w:r w:rsidR="00951CC7">
        <w:rPr>
          <w:rFonts w:ascii="Times New Roman" w:hAnsi="Times New Roman" w:cs="Times New Roman"/>
          <w:b/>
          <w:sz w:val="24"/>
          <w:szCs w:val="24"/>
          <w:u w:val="single"/>
        </w:rPr>
        <w:t xml:space="preserve">OMPANY’S </w:t>
      </w:r>
      <w:r w:rsidR="00C37C24">
        <w:rPr>
          <w:rFonts w:ascii="Times New Roman" w:hAnsi="Times New Roman" w:cs="Times New Roman"/>
          <w:b/>
          <w:sz w:val="24"/>
          <w:szCs w:val="24"/>
          <w:u w:val="single"/>
        </w:rPr>
        <w:t xml:space="preserve">PETITION TO </w:t>
      </w:r>
      <w:r w:rsidR="00ED7E9B">
        <w:rPr>
          <w:rFonts w:ascii="Times New Roman" w:hAnsi="Times New Roman" w:cs="Times New Roman"/>
          <w:b/>
          <w:sz w:val="24"/>
          <w:szCs w:val="24"/>
          <w:u w:val="single"/>
        </w:rPr>
        <w:t xml:space="preserve">AMEND </w:t>
      </w:r>
      <w:r w:rsidR="00442E14">
        <w:rPr>
          <w:rFonts w:ascii="Times New Roman" w:hAnsi="Times New Roman" w:cs="Times New Roman"/>
          <w:b/>
          <w:sz w:val="24"/>
          <w:szCs w:val="24"/>
          <w:u w:val="single"/>
        </w:rPr>
        <w:t>202</w:t>
      </w:r>
      <w:r w:rsidR="00C37C24">
        <w:rPr>
          <w:rFonts w:ascii="Times New Roman" w:hAnsi="Times New Roman" w:cs="Times New Roman"/>
          <w:b/>
          <w:sz w:val="24"/>
          <w:szCs w:val="24"/>
          <w:u w:val="single"/>
        </w:rPr>
        <w:t>5-2034</w:t>
      </w:r>
      <w:r w:rsidR="00442E14">
        <w:rPr>
          <w:rFonts w:ascii="Times New Roman" w:hAnsi="Times New Roman" w:cs="Times New Roman"/>
          <w:b/>
          <w:sz w:val="24"/>
          <w:szCs w:val="24"/>
          <w:u w:val="single"/>
        </w:rPr>
        <w:t xml:space="preserve"> </w:t>
      </w:r>
      <w:r w:rsidR="00C37C24">
        <w:rPr>
          <w:rFonts w:ascii="Times New Roman" w:hAnsi="Times New Roman" w:cs="Times New Roman"/>
          <w:b/>
          <w:sz w:val="24"/>
          <w:szCs w:val="24"/>
          <w:u w:val="single"/>
        </w:rPr>
        <w:t>INTEGRATED CAPACITY AND DELIVERY PLAN</w:t>
      </w:r>
    </w:p>
    <w:p w:rsidR="004B25F0" w:rsidP="004B25F0" w14:paraId="1EAD931F" w14:textId="77777777">
      <w:pPr>
        <w:suppressLineNumbers/>
        <w:jc w:val="center"/>
        <w:rPr>
          <w:rFonts w:ascii="Times New Roman" w:hAnsi="Times New Roman" w:cs="Times New Roman"/>
          <w:b/>
          <w:sz w:val="24"/>
          <w:szCs w:val="24"/>
          <w:u w:val="single"/>
        </w:rPr>
      </w:pPr>
    </w:p>
    <w:p w:rsidR="001770A2" w:rsidRPr="00241ADB" w:rsidP="00241ADB" w14:paraId="03F1C2BD" w14:textId="58E6A05B">
      <w:pPr>
        <w:suppressLineNumbers/>
        <w:spacing w:line="480" w:lineRule="auto"/>
        <w:ind w:firstLine="720"/>
        <w:jc w:val="both"/>
        <w:rPr>
          <w:rFonts w:ascii="Times New Roman" w:hAnsi="Times New Roman" w:cs="Times New Roman"/>
          <w:iCs/>
          <w:sz w:val="24"/>
          <w:szCs w:val="24"/>
        </w:rPr>
      </w:pPr>
      <w:r w:rsidRPr="00241ADB">
        <w:rPr>
          <w:rFonts w:ascii="Times New Roman" w:hAnsi="Times New Roman" w:cs="Times New Roman"/>
          <w:iCs/>
          <w:sz w:val="24"/>
          <w:szCs w:val="24"/>
        </w:rPr>
        <w:t xml:space="preserve">Atlanta Gas Light Company (“AGL” or the “Company”) files </w:t>
      </w:r>
      <w:r w:rsidR="00B1262C">
        <w:rPr>
          <w:rFonts w:ascii="Times New Roman" w:hAnsi="Times New Roman" w:cs="Times New Roman"/>
          <w:iCs/>
          <w:sz w:val="24"/>
          <w:szCs w:val="24"/>
        </w:rPr>
        <w:t xml:space="preserve">this Petition </w:t>
      </w:r>
      <w:r w:rsidRPr="00241ADB">
        <w:rPr>
          <w:rFonts w:ascii="Times New Roman" w:hAnsi="Times New Roman" w:cs="Times New Roman"/>
          <w:iCs/>
          <w:sz w:val="24"/>
          <w:szCs w:val="24"/>
        </w:rPr>
        <w:t>with the Georgia Public Service Commission (the “Commission”)</w:t>
      </w:r>
      <w:r w:rsidR="00B1262C">
        <w:rPr>
          <w:rFonts w:ascii="Times New Roman" w:hAnsi="Times New Roman" w:cs="Times New Roman"/>
          <w:iCs/>
          <w:sz w:val="24"/>
          <w:szCs w:val="24"/>
        </w:rPr>
        <w:t xml:space="preserve">, requesting </w:t>
      </w:r>
      <w:r w:rsidR="008D4C28">
        <w:rPr>
          <w:rFonts w:ascii="Times New Roman" w:hAnsi="Times New Roman" w:cs="Times New Roman"/>
          <w:iCs/>
          <w:sz w:val="24"/>
          <w:szCs w:val="24"/>
        </w:rPr>
        <w:t>two amendments to</w:t>
      </w:r>
      <w:r w:rsidR="00B1262C">
        <w:rPr>
          <w:rFonts w:ascii="Times New Roman" w:hAnsi="Times New Roman" w:cs="Times New Roman"/>
          <w:iCs/>
          <w:sz w:val="24"/>
          <w:szCs w:val="24"/>
        </w:rPr>
        <w:t xml:space="preserve"> </w:t>
      </w:r>
      <w:r w:rsidRPr="00241ADB">
        <w:rPr>
          <w:rFonts w:ascii="Times New Roman" w:hAnsi="Times New Roman" w:cs="Times New Roman"/>
          <w:iCs/>
          <w:sz w:val="24"/>
          <w:szCs w:val="24"/>
        </w:rPr>
        <w:t xml:space="preserve">the 2025-2034 Integrated Capacity and Delivery Plan (the “2025-2034 i-CDP”). </w:t>
      </w:r>
      <w:r w:rsidR="00E72707">
        <w:rPr>
          <w:rFonts w:ascii="Times New Roman" w:hAnsi="Times New Roman" w:cs="Times New Roman"/>
          <w:iCs/>
          <w:sz w:val="24"/>
          <w:szCs w:val="24"/>
        </w:rPr>
        <w:t>Such Amendment</w:t>
      </w:r>
      <w:r w:rsidR="008D4C28">
        <w:rPr>
          <w:rFonts w:ascii="Times New Roman" w:hAnsi="Times New Roman" w:cs="Times New Roman"/>
          <w:iCs/>
          <w:sz w:val="24"/>
          <w:szCs w:val="24"/>
        </w:rPr>
        <w:t>s</w:t>
      </w:r>
      <w:r w:rsidR="00E72707">
        <w:rPr>
          <w:rFonts w:ascii="Times New Roman" w:hAnsi="Times New Roman" w:cs="Times New Roman"/>
          <w:iCs/>
          <w:sz w:val="24"/>
          <w:szCs w:val="24"/>
        </w:rPr>
        <w:t xml:space="preserve"> will have no effect on either the authorized rate adjustments or aggregate </w:t>
      </w:r>
      <w:r w:rsidR="00132B8C">
        <w:rPr>
          <w:rFonts w:ascii="Times New Roman" w:hAnsi="Times New Roman" w:cs="Times New Roman"/>
          <w:iCs/>
          <w:sz w:val="24"/>
          <w:szCs w:val="24"/>
        </w:rPr>
        <w:t xml:space="preserve">capital </w:t>
      </w:r>
      <w:r w:rsidR="00E72707">
        <w:rPr>
          <w:rFonts w:ascii="Times New Roman" w:hAnsi="Times New Roman" w:cs="Times New Roman"/>
          <w:iCs/>
          <w:sz w:val="24"/>
          <w:szCs w:val="24"/>
        </w:rPr>
        <w:t xml:space="preserve">budgets established in the </w:t>
      </w:r>
      <w:r w:rsidR="000C6E3C">
        <w:rPr>
          <w:rFonts w:ascii="Times New Roman" w:hAnsi="Times New Roman" w:cs="Times New Roman"/>
          <w:iCs/>
          <w:sz w:val="24"/>
          <w:szCs w:val="24"/>
        </w:rPr>
        <w:t xml:space="preserve">Commission’s </w:t>
      </w:r>
      <w:r w:rsidR="00E72707">
        <w:rPr>
          <w:rFonts w:ascii="Times New Roman" w:hAnsi="Times New Roman" w:cs="Times New Roman"/>
          <w:iCs/>
          <w:sz w:val="24"/>
          <w:szCs w:val="24"/>
        </w:rPr>
        <w:t xml:space="preserve">July 2, 2024 Order approving the </w:t>
      </w:r>
      <w:r w:rsidR="000C6E3C">
        <w:rPr>
          <w:rFonts w:ascii="Times New Roman" w:hAnsi="Times New Roman" w:cs="Times New Roman"/>
          <w:iCs/>
          <w:sz w:val="24"/>
          <w:szCs w:val="24"/>
        </w:rPr>
        <w:t xml:space="preserve">2025-2034 </w:t>
      </w:r>
      <w:r w:rsidR="00E72707">
        <w:rPr>
          <w:rFonts w:ascii="Times New Roman" w:hAnsi="Times New Roman" w:cs="Times New Roman"/>
          <w:iCs/>
          <w:sz w:val="24"/>
          <w:szCs w:val="24"/>
        </w:rPr>
        <w:t xml:space="preserve">i-CDP. </w:t>
      </w:r>
      <w:r w:rsidR="00977987">
        <w:rPr>
          <w:rFonts w:ascii="Times New Roman" w:hAnsi="Times New Roman" w:cs="Times New Roman"/>
          <w:iCs/>
          <w:sz w:val="24"/>
          <w:szCs w:val="24"/>
        </w:rPr>
        <w:t>In support of th</w:t>
      </w:r>
      <w:r w:rsidR="007548C5">
        <w:rPr>
          <w:rFonts w:ascii="Times New Roman" w:hAnsi="Times New Roman" w:cs="Times New Roman"/>
          <w:iCs/>
          <w:sz w:val="24"/>
          <w:szCs w:val="24"/>
        </w:rPr>
        <w:t>ese</w:t>
      </w:r>
      <w:r w:rsidR="00977987">
        <w:rPr>
          <w:rFonts w:ascii="Times New Roman" w:hAnsi="Times New Roman" w:cs="Times New Roman"/>
          <w:iCs/>
          <w:sz w:val="24"/>
          <w:szCs w:val="24"/>
        </w:rPr>
        <w:t xml:space="preserve"> Amendment</w:t>
      </w:r>
      <w:r w:rsidR="007548C5">
        <w:rPr>
          <w:rFonts w:ascii="Times New Roman" w:hAnsi="Times New Roman" w:cs="Times New Roman"/>
          <w:iCs/>
          <w:sz w:val="24"/>
          <w:szCs w:val="24"/>
        </w:rPr>
        <w:t>s</w:t>
      </w:r>
      <w:r w:rsidR="00977987">
        <w:rPr>
          <w:rFonts w:ascii="Times New Roman" w:hAnsi="Times New Roman" w:cs="Times New Roman"/>
          <w:iCs/>
          <w:sz w:val="24"/>
          <w:szCs w:val="24"/>
        </w:rPr>
        <w:t xml:space="preserve">, AGL has included herewith the Amended Minimum Filing </w:t>
      </w:r>
      <w:r w:rsidRPr="005A73AE" w:rsidR="00977987">
        <w:rPr>
          <w:rFonts w:ascii="Times New Roman" w:hAnsi="Times New Roman" w:cs="Times New Roman"/>
          <w:iCs/>
          <w:sz w:val="24"/>
          <w:szCs w:val="24"/>
        </w:rPr>
        <w:t>Requirements (“MFRs”).</w:t>
      </w:r>
      <w:r w:rsidR="00977987">
        <w:rPr>
          <w:rFonts w:ascii="Times New Roman" w:hAnsi="Times New Roman" w:cs="Times New Roman"/>
          <w:iCs/>
          <w:sz w:val="24"/>
          <w:szCs w:val="24"/>
        </w:rPr>
        <w:t xml:space="preserve"> </w:t>
      </w:r>
      <w:r w:rsidRPr="00241ADB">
        <w:rPr>
          <w:rFonts w:ascii="Times New Roman" w:hAnsi="Times New Roman" w:cs="Times New Roman"/>
          <w:iCs/>
          <w:sz w:val="24"/>
          <w:szCs w:val="24"/>
        </w:rPr>
        <w:t>AGL respectfully requests that the Commission approve the</w:t>
      </w:r>
      <w:r w:rsidR="00336047">
        <w:rPr>
          <w:rFonts w:ascii="Times New Roman" w:hAnsi="Times New Roman" w:cs="Times New Roman"/>
          <w:iCs/>
          <w:sz w:val="24"/>
          <w:szCs w:val="24"/>
        </w:rPr>
        <w:t xml:space="preserve"> </w:t>
      </w:r>
      <w:r w:rsidR="003E215A">
        <w:rPr>
          <w:rFonts w:ascii="Times New Roman" w:hAnsi="Times New Roman" w:cs="Times New Roman"/>
          <w:iCs/>
          <w:sz w:val="24"/>
          <w:szCs w:val="24"/>
        </w:rPr>
        <w:t>amendment</w:t>
      </w:r>
      <w:r w:rsidR="007548C5">
        <w:rPr>
          <w:rFonts w:ascii="Times New Roman" w:hAnsi="Times New Roman" w:cs="Times New Roman"/>
          <w:iCs/>
          <w:sz w:val="24"/>
          <w:szCs w:val="24"/>
        </w:rPr>
        <w:t>s</w:t>
      </w:r>
      <w:r w:rsidR="00336047">
        <w:rPr>
          <w:rFonts w:ascii="Times New Roman" w:hAnsi="Times New Roman" w:cs="Times New Roman"/>
          <w:iCs/>
          <w:sz w:val="24"/>
          <w:szCs w:val="24"/>
        </w:rPr>
        <w:t xml:space="preserve"> to the</w:t>
      </w:r>
      <w:r w:rsidRPr="00241ADB">
        <w:rPr>
          <w:rFonts w:ascii="Times New Roman" w:hAnsi="Times New Roman" w:cs="Times New Roman"/>
          <w:iCs/>
          <w:sz w:val="24"/>
          <w:szCs w:val="24"/>
        </w:rPr>
        <w:t xml:space="preserve"> 2025-2034 i-CDP</w:t>
      </w:r>
      <w:r w:rsidR="00336047">
        <w:rPr>
          <w:rFonts w:ascii="Times New Roman" w:hAnsi="Times New Roman" w:cs="Times New Roman"/>
          <w:iCs/>
          <w:sz w:val="24"/>
          <w:szCs w:val="24"/>
        </w:rPr>
        <w:t>.</w:t>
      </w:r>
    </w:p>
    <w:p w:rsidR="00916111" w:rsidRPr="006B0A1A" w:rsidP="00483C9F" w14:paraId="6CC88228" w14:textId="2F1252B2">
      <w:pPr>
        <w:pStyle w:val="ListParagraph"/>
        <w:numPr>
          <w:ilvl w:val="0"/>
          <w:numId w:val="8"/>
        </w:numPr>
        <w:suppressLineNumbers/>
        <w:spacing w:line="480" w:lineRule="auto"/>
        <w:ind w:left="-90" w:firstLine="0"/>
        <w:jc w:val="center"/>
        <w:rPr>
          <w:rFonts w:ascii="Times New Roman" w:hAnsi="Times New Roman" w:cs="Times New Roman"/>
          <w:b/>
          <w:sz w:val="24"/>
          <w:szCs w:val="24"/>
          <w:u w:val="single"/>
        </w:rPr>
      </w:pPr>
      <w:r w:rsidRPr="006B0A1A">
        <w:rPr>
          <w:rFonts w:ascii="Times New Roman" w:hAnsi="Times New Roman" w:cs="Times New Roman"/>
          <w:b/>
          <w:sz w:val="24"/>
          <w:szCs w:val="24"/>
          <w:u w:val="single"/>
        </w:rPr>
        <w:t>BACKGROUND</w:t>
      </w:r>
    </w:p>
    <w:p w:rsidR="00E224D0" w:rsidRPr="0057308C" w:rsidP="00D976C3" w14:paraId="63362CE5" w14:textId="77777777">
      <w:pPr>
        <w:spacing w:line="480" w:lineRule="auto"/>
        <w:ind w:firstLine="720"/>
        <w:jc w:val="both"/>
        <w:rPr>
          <w:rFonts w:ascii="Times New Roman" w:hAnsi="Times New Roman" w:cs="Times New Roman"/>
          <w:b/>
          <w:bCs/>
          <w:iCs/>
          <w:sz w:val="24"/>
          <w:szCs w:val="24"/>
          <w:u w:val="single"/>
        </w:rPr>
      </w:pPr>
      <w:r w:rsidRPr="00336047">
        <w:rPr>
          <w:rFonts w:ascii="Times New Roman" w:hAnsi="Times New Roman" w:cs="Times New Roman"/>
          <w:iCs/>
          <w:sz w:val="24"/>
          <w:szCs w:val="24"/>
        </w:rPr>
        <w:t>In the Commission’s February 23, 2021 Order Adopting Stipulation in Docket No. 42315, the Commission approved the Stipulation that Staff and AGL (the “Governance Document”) submitted proposing a long-range planning tool to establish a proceeding in which the Commission will examine and approve the parameters for capital budgets and related O&amp;M spending associated with multi-year (</w:t>
      </w:r>
      <w:r w:rsidRPr="00336047">
        <w:rPr>
          <w:rFonts w:ascii="Times New Roman" w:hAnsi="Times New Roman" w:cs="Times New Roman"/>
          <w:i/>
          <w:sz w:val="24"/>
          <w:szCs w:val="24"/>
        </w:rPr>
        <w:t xml:space="preserve">i.e., </w:t>
      </w:r>
      <w:r w:rsidRPr="00336047">
        <w:rPr>
          <w:rFonts w:ascii="Times New Roman" w:hAnsi="Times New Roman" w:cs="Times New Roman"/>
          <w:iCs/>
          <w:sz w:val="24"/>
          <w:szCs w:val="24"/>
        </w:rPr>
        <w:t xml:space="preserve">more than three years) forecasts. The Governance Document allows the Company to file for the Commission’s consideration a comprehensive planning tool, referred to as </w:t>
      </w:r>
      <w:r w:rsidRPr="00336047">
        <w:rPr>
          <w:rFonts w:ascii="Times New Roman" w:hAnsi="Times New Roman" w:cs="Times New Roman"/>
          <w:iCs/>
          <w:sz w:val="24"/>
          <w:szCs w:val="24"/>
        </w:rPr>
        <w:t>the Integrated Capacity Delivery Plan (“i-CDP” or the “Plan”), to help ensure consistency and continuity of the forecasts, assumptions, selected options, and other planning parameters that the Company presents and the Commission approves within the independent Capacity Supply Plan (“CSP”) and Georgia Rate Adjustment Mechanism (“GRAM”) processes. The Commission approved the Company’s first i-CDP, the 2022-2031 i-CDP, on November 18, 2021, by adopting the stipulation and addendum to stipulation that the parties reached.</w:t>
      </w:r>
      <w:r>
        <w:rPr>
          <w:rFonts w:ascii="Times New Roman" w:hAnsi="Times New Roman" w:cs="Times New Roman"/>
          <w:iCs/>
          <w:sz w:val="24"/>
          <w:szCs w:val="24"/>
        </w:rPr>
        <w:t xml:space="preserve"> </w:t>
      </w:r>
    </w:p>
    <w:p w:rsidR="00690F0C" w:rsidRPr="00690F0C" w:rsidP="00690F0C" w14:paraId="30652A7A" w14:textId="66C2D4CD">
      <w:pPr>
        <w:spacing w:line="480" w:lineRule="auto"/>
        <w:ind w:firstLine="720"/>
        <w:jc w:val="both"/>
        <w:rPr>
          <w:rFonts w:ascii="Times New Roman" w:eastAsia="Times New Roman" w:hAnsi="Times New Roman" w:cs="Times New Roman"/>
          <w:color w:val="000000"/>
          <w:sz w:val="24"/>
          <w:szCs w:val="24"/>
          <w:shd w:val="clear" w:color="auto" w:fill="FFFFFF"/>
        </w:rPr>
      </w:pPr>
      <w:r w:rsidRPr="00690F0C">
        <w:rPr>
          <w:rFonts w:ascii="Times New Roman" w:eastAsia="Times New Roman" w:hAnsi="Times New Roman" w:cs="Times New Roman"/>
          <w:sz w:val="24"/>
          <w:szCs w:val="24"/>
        </w:rPr>
        <w:t>The Commission approved AGL’s 202</w:t>
      </w:r>
      <w:r w:rsidR="00847053">
        <w:rPr>
          <w:rFonts w:ascii="Times New Roman" w:eastAsia="Times New Roman" w:hAnsi="Times New Roman" w:cs="Times New Roman"/>
          <w:sz w:val="24"/>
          <w:szCs w:val="24"/>
        </w:rPr>
        <w:t>5</w:t>
      </w:r>
      <w:r w:rsidRPr="00690F0C">
        <w:rPr>
          <w:rFonts w:ascii="Times New Roman" w:eastAsia="Times New Roman" w:hAnsi="Times New Roman" w:cs="Times New Roman"/>
          <w:sz w:val="24"/>
          <w:szCs w:val="24"/>
        </w:rPr>
        <w:t>-203</w:t>
      </w:r>
      <w:r w:rsidR="00847053">
        <w:rPr>
          <w:rFonts w:ascii="Times New Roman" w:eastAsia="Times New Roman" w:hAnsi="Times New Roman" w:cs="Times New Roman"/>
          <w:sz w:val="24"/>
          <w:szCs w:val="24"/>
        </w:rPr>
        <w:t>4</w:t>
      </w:r>
      <w:r w:rsidRPr="00690F0C">
        <w:rPr>
          <w:rFonts w:ascii="Times New Roman" w:eastAsia="Times New Roman" w:hAnsi="Times New Roman" w:cs="Times New Roman"/>
          <w:sz w:val="24"/>
          <w:szCs w:val="24"/>
        </w:rPr>
        <w:t xml:space="preserve"> i-CDP on </w:t>
      </w:r>
      <w:r w:rsidR="00847053">
        <w:rPr>
          <w:rFonts w:ascii="Times New Roman" w:eastAsia="Times New Roman" w:hAnsi="Times New Roman" w:cs="Times New Roman"/>
          <w:sz w:val="24"/>
          <w:szCs w:val="24"/>
        </w:rPr>
        <w:t>July 2</w:t>
      </w:r>
      <w:r w:rsidRPr="00690F0C">
        <w:rPr>
          <w:rFonts w:ascii="Times New Roman" w:eastAsia="Times New Roman" w:hAnsi="Times New Roman" w:cs="Times New Roman"/>
          <w:sz w:val="24"/>
          <w:szCs w:val="24"/>
        </w:rPr>
        <w:t>, 202</w:t>
      </w:r>
      <w:r w:rsidR="00847053">
        <w:rPr>
          <w:rFonts w:ascii="Times New Roman" w:eastAsia="Times New Roman" w:hAnsi="Times New Roman" w:cs="Times New Roman"/>
          <w:sz w:val="24"/>
          <w:szCs w:val="24"/>
        </w:rPr>
        <w:t>4</w:t>
      </w:r>
      <w:r w:rsidR="00015F51">
        <w:rPr>
          <w:rFonts w:ascii="Times New Roman" w:eastAsia="Times New Roman" w:hAnsi="Times New Roman" w:cs="Times New Roman"/>
          <w:sz w:val="24"/>
          <w:szCs w:val="24"/>
        </w:rPr>
        <w:t>,</w:t>
      </w:r>
      <w:r w:rsidRPr="00690F0C">
        <w:rPr>
          <w:rFonts w:ascii="Times New Roman" w:eastAsia="Times New Roman" w:hAnsi="Times New Roman" w:cs="Times New Roman"/>
          <w:sz w:val="24"/>
          <w:szCs w:val="24"/>
        </w:rPr>
        <w:t xml:space="preserve"> by adopting the stipulation the parties reached </w:t>
      </w:r>
      <w:r w:rsidRPr="00690F0C" w:rsidR="001B0324">
        <w:rPr>
          <w:rFonts w:ascii="Times New Roman" w:eastAsia="Times New Roman" w:hAnsi="Times New Roman" w:cs="Times New Roman"/>
          <w:sz w:val="24"/>
          <w:szCs w:val="24"/>
        </w:rPr>
        <w:t>(the</w:t>
      </w:r>
      <w:r w:rsidRPr="00690F0C">
        <w:rPr>
          <w:rFonts w:ascii="Times New Roman" w:eastAsia="Times New Roman" w:hAnsi="Times New Roman" w:cs="Times New Roman"/>
          <w:sz w:val="24"/>
          <w:szCs w:val="24"/>
        </w:rPr>
        <w:t xml:space="preserve"> “Stipulation”).</w:t>
      </w:r>
      <w:r>
        <w:rPr>
          <w:rFonts w:ascii="Times New Roman" w:eastAsia="Times New Roman" w:hAnsi="Times New Roman" w:cs="Times New Roman"/>
          <w:sz w:val="24"/>
          <w:szCs w:val="24"/>
          <w:vertAlign w:val="superscript"/>
        </w:rPr>
        <w:footnoteReference w:id="2"/>
      </w:r>
      <w:r w:rsidRPr="00690F0C">
        <w:rPr>
          <w:rFonts w:ascii="Times New Roman" w:eastAsia="Times New Roman" w:hAnsi="Times New Roman" w:cs="Times New Roman"/>
          <w:sz w:val="24"/>
          <w:szCs w:val="24"/>
        </w:rPr>
        <w:t xml:space="preserve"> This Stipulation established the roadmap for AGL’s operations during the Plan Period for calendar years 202</w:t>
      </w:r>
      <w:r w:rsidR="00D2157A">
        <w:rPr>
          <w:rFonts w:ascii="Times New Roman" w:eastAsia="Times New Roman" w:hAnsi="Times New Roman" w:cs="Times New Roman"/>
          <w:sz w:val="24"/>
          <w:szCs w:val="24"/>
        </w:rPr>
        <w:t>5</w:t>
      </w:r>
      <w:r w:rsidRPr="00690F0C">
        <w:rPr>
          <w:rFonts w:ascii="Times New Roman" w:eastAsia="Times New Roman" w:hAnsi="Times New Roman" w:cs="Times New Roman"/>
          <w:sz w:val="24"/>
          <w:szCs w:val="24"/>
        </w:rPr>
        <w:t xml:space="preserve"> to 203</w:t>
      </w:r>
      <w:r w:rsidR="00D2157A">
        <w:rPr>
          <w:rFonts w:ascii="Times New Roman" w:eastAsia="Times New Roman" w:hAnsi="Times New Roman" w:cs="Times New Roman"/>
          <w:sz w:val="24"/>
          <w:szCs w:val="24"/>
        </w:rPr>
        <w:t>4</w:t>
      </w:r>
      <w:r w:rsidRPr="00690F0C">
        <w:rPr>
          <w:rFonts w:ascii="Times New Roman" w:eastAsia="Times New Roman" w:hAnsi="Times New Roman" w:cs="Times New Roman"/>
          <w:sz w:val="24"/>
          <w:szCs w:val="24"/>
        </w:rPr>
        <w:t xml:space="preserve">. </w:t>
      </w:r>
      <w:r w:rsidR="0087142B">
        <w:rPr>
          <w:rFonts w:ascii="Times New Roman" w:eastAsia="Times New Roman" w:hAnsi="Times New Roman" w:cs="Times New Roman"/>
          <w:sz w:val="24"/>
          <w:szCs w:val="24"/>
        </w:rPr>
        <w:t>In the</w:t>
      </w:r>
      <w:r w:rsidRPr="00690F0C">
        <w:rPr>
          <w:rFonts w:ascii="Times New Roman" w:eastAsia="Times New Roman" w:hAnsi="Times New Roman" w:cs="Times New Roman"/>
          <w:sz w:val="24"/>
          <w:szCs w:val="24"/>
        </w:rPr>
        <w:t xml:space="preserve"> </w:t>
      </w:r>
      <w:r w:rsidR="00D2157A">
        <w:rPr>
          <w:rFonts w:ascii="Times New Roman" w:eastAsia="Times New Roman" w:hAnsi="Times New Roman" w:cs="Times New Roman"/>
          <w:sz w:val="24"/>
          <w:szCs w:val="24"/>
        </w:rPr>
        <w:t>July 2</w:t>
      </w:r>
      <w:r w:rsidRPr="00690F0C">
        <w:rPr>
          <w:rFonts w:ascii="Times New Roman" w:eastAsia="Times New Roman" w:hAnsi="Times New Roman" w:cs="Times New Roman"/>
          <w:sz w:val="24"/>
          <w:szCs w:val="24"/>
        </w:rPr>
        <w:t>, 202</w:t>
      </w:r>
      <w:r w:rsidR="00D2157A">
        <w:rPr>
          <w:rFonts w:ascii="Times New Roman" w:eastAsia="Times New Roman" w:hAnsi="Times New Roman" w:cs="Times New Roman"/>
          <w:sz w:val="24"/>
          <w:szCs w:val="24"/>
        </w:rPr>
        <w:t>4</w:t>
      </w:r>
      <w:r w:rsidRPr="00690F0C">
        <w:rPr>
          <w:rFonts w:ascii="Times New Roman" w:eastAsia="Times New Roman" w:hAnsi="Times New Roman" w:cs="Times New Roman"/>
          <w:sz w:val="24"/>
          <w:szCs w:val="24"/>
        </w:rPr>
        <w:t xml:space="preserve"> Order in Docket No. 43820 (the “</w:t>
      </w:r>
      <w:r w:rsidR="00D2157A">
        <w:rPr>
          <w:rFonts w:ascii="Times New Roman" w:eastAsia="Times New Roman" w:hAnsi="Times New Roman" w:cs="Times New Roman"/>
          <w:sz w:val="24"/>
          <w:szCs w:val="24"/>
        </w:rPr>
        <w:t>July</w:t>
      </w:r>
      <w:r w:rsidRPr="00690F0C">
        <w:rPr>
          <w:rFonts w:ascii="Times New Roman" w:eastAsia="Times New Roman" w:hAnsi="Times New Roman" w:cs="Times New Roman"/>
          <w:sz w:val="24"/>
          <w:szCs w:val="24"/>
        </w:rPr>
        <w:t xml:space="preserve"> 202</w:t>
      </w:r>
      <w:r w:rsidR="00D2157A">
        <w:rPr>
          <w:rFonts w:ascii="Times New Roman" w:eastAsia="Times New Roman" w:hAnsi="Times New Roman" w:cs="Times New Roman"/>
          <w:sz w:val="24"/>
          <w:szCs w:val="24"/>
        </w:rPr>
        <w:t>4</w:t>
      </w:r>
      <w:r w:rsidRPr="00690F0C">
        <w:rPr>
          <w:rFonts w:ascii="Times New Roman" w:eastAsia="Times New Roman" w:hAnsi="Times New Roman" w:cs="Times New Roman"/>
          <w:sz w:val="24"/>
          <w:szCs w:val="24"/>
        </w:rPr>
        <w:t xml:space="preserve"> Order”),</w:t>
      </w:r>
      <w:r>
        <w:rPr>
          <w:rFonts w:ascii="Times New Roman" w:eastAsia="Times New Roman" w:hAnsi="Times New Roman" w:cs="Times New Roman"/>
          <w:sz w:val="24"/>
          <w:szCs w:val="24"/>
          <w:vertAlign w:val="superscript"/>
        </w:rPr>
        <w:footnoteReference w:id="3"/>
      </w:r>
      <w:r w:rsidRPr="00690F0C">
        <w:rPr>
          <w:rFonts w:ascii="Times New Roman" w:eastAsia="Times New Roman" w:hAnsi="Times New Roman" w:cs="Times New Roman"/>
          <w:sz w:val="24"/>
          <w:szCs w:val="24"/>
        </w:rPr>
        <w:t xml:space="preserve"> the Commission found that AGL’s Stipulation w</w:t>
      </w:r>
      <w:r w:rsidR="004B6C02">
        <w:rPr>
          <w:rFonts w:ascii="Times New Roman" w:eastAsia="Times New Roman" w:hAnsi="Times New Roman" w:cs="Times New Roman"/>
          <w:sz w:val="24"/>
          <w:szCs w:val="24"/>
        </w:rPr>
        <w:t>as</w:t>
      </w:r>
      <w:r w:rsidRPr="00690F0C">
        <w:rPr>
          <w:rFonts w:ascii="Times New Roman" w:eastAsia="Times New Roman" w:hAnsi="Times New Roman" w:cs="Times New Roman"/>
          <w:sz w:val="24"/>
          <w:szCs w:val="24"/>
        </w:rPr>
        <w:t xml:space="preserve"> “</w:t>
      </w:r>
      <w:r w:rsidR="004B6C02">
        <w:rPr>
          <w:rFonts w:ascii="Times New Roman" w:eastAsia="Times New Roman" w:hAnsi="Times New Roman" w:cs="Times New Roman"/>
          <w:sz w:val="24"/>
          <w:szCs w:val="24"/>
        </w:rPr>
        <w:t>a fair and reasonable resolution</w:t>
      </w:r>
      <w:r w:rsidRPr="00690F0C">
        <w:rPr>
          <w:rFonts w:ascii="Times New Roman" w:eastAsia="Times New Roman" w:hAnsi="Times New Roman" w:cs="Times New Roman"/>
          <w:sz w:val="24"/>
          <w:szCs w:val="24"/>
        </w:rPr>
        <w:t xml:space="preserve">” for the Planning Period of the </w:t>
      </w:r>
      <w:r w:rsidR="00C32E0D">
        <w:rPr>
          <w:rFonts w:ascii="Times New Roman" w:eastAsia="Times New Roman" w:hAnsi="Times New Roman" w:cs="Times New Roman"/>
          <w:sz w:val="24"/>
          <w:szCs w:val="24"/>
        </w:rPr>
        <w:t xml:space="preserve">2025-2034 </w:t>
      </w:r>
      <w:r w:rsidRPr="00690F0C">
        <w:rPr>
          <w:rFonts w:ascii="Times New Roman" w:eastAsia="Times New Roman" w:hAnsi="Times New Roman" w:cs="Times New Roman"/>
          <w:sz w:val="24"/>
          <w:szCs w:val="24"/>
        </w:rPr>
        <w:t xml:space="preserve">i-CDP. </w:t>
      </w:r>
    </w:p>
    <w:p w:rsidR="00690F0C" w:rsidP="00D976C3" w14:paraId="341B69A1" w14:textId="54692720">
      <w:pPr>
        <w:spacing w:line="480" w:lineRule="auto"/>
        <w:jc w:val="both"/>
        <w:rPr>
          <w:rFonts w:ascii="Times New Roman" w:eastAsia="Calibri" w:hAnsi="Times New Roman" w:cs="Times New Roman"/>
          <w:sz w:val="24"/>
          <w:szCs w:val="24"/>
        </w:rPr>
      </w:pPr>
      <w:r w:rsidRPr="00690F0C">
        <w:rPr>
          <w:rFonts w:ascii="Times New Roman" w:eastAsia="Times New Roman" w:hAnsi="Times New Roman" w:cs="Times New Roman"/>
          <w:sz w:val="24"/>
          <w:szCs w:val="24"/>
        </w:rPr>
        <w:tab/>
        <w:t xml:space="preserve">In the </w:t>
      </w:r>
      <w:r w:rsidR="002170DE">
        <w:rPr>
          <w:rFonts w:ascii="Times New Roman" w:eastAsia="Times New Roman" w:hAnsi="Times New Roman" w:cs="Times New Roman"/>
          <w:sz w:val="24"/>
          <w:szCs w:val="24"/>
        </w:rPr>
        <w:t xml:space="preserve">2025-2034 </w:t>
      </w:r>
      <w:r w:rsidRPr="00690F0C">
        <w:rPr>
          <w:rFonts w:ascii="Times New Roman" w:eastAsia="Times New Roman" w:hAnsi="Times New Roman" w:cs="Times New Roman"/>
          <w:sz w:val="24"/>
          <w:szCs w:val="24"/>
        </w:rPr>
        <w:t xml:space="preserve">i-CDP, the </w:t>
      </w:r>
      <w:r w:rsidRPr="00997A60">
        <w:rPr>
          <w:rFonts w:ascii="Times New Roman" w:eastAsia="Times New Roman" w:hAnsi="Times New Roman" w:cs="Times New Roman"/>
          <w:sz w:val="24"/>
          <w:szCs w:val="24"/>
        </w:rPr>
        <w:t xml:space="preserve">Commission approved </w:t>
      </w:r>
      <w:r w:rsidRPr="00997A60" w:rsidR="009666F5">
        <w:rPr>
          <w:rFonts w:ascii="Times New Roman" w:eastAsia="Times New Roman" w:hAnsi="Times New Roman" w:cs="Times New Roman"/>
          <w:sz w:val="24"/>
          <w:szCs w:val="24"/>
        </w:rPr>
        <w:t>budgets</w:t>
      </w:r>
      <w:r w:rsidR="009666F5">
        <w:rPr>
          <w:rFonts w:ascii="Times New Roman" w:eastAsia="Times New Roman" w:hAnsi="Times New Roman" w:cs="Times New Roman"/>
          <w:sz w:val="24"/>
          <w:szCs w:val="24"/>
        </w:rPr>
        <w:t xml:space="preserve"> for projects and programs</w:t>
      </w:r>
      <w:r w:rsidRPr="00690F0C">
        <w:rPr>
          <w:rFonts w:ascii="Times New Roman" w:eastAsia="Times New Roman" w:hAnsi="Times New Roman" w:cs="Times New Roman"/>
          <w:sz w:val="24"/>
          <w:szCs w:val="24"/>
        </w:rPr>
        <w:t xml:space="preserve">, as labeled in the Stipulation. Within these individual budget categories, the </w:t>
      </w:r>
      <w:r w:rsidR="00E30D96">
        <w:rPr>
          <w:rFonts w:ascii="Times New Roman" w:eastAsia="Times New Roman" w:hAnsi="Times New Roman" w:cs="Times New Roman"/>
          <w:sz w:val="24"/>
          <w:szCs w:val="24"/>
        </w:rPr>
        <w:t>Stipulation</w:t>
      </w:r>
      <w:r w:rsidRPr="00690F0C">
        <w:rPr>
          <w:rFonts w:ascii="Times New Roman" w:eastAsia="Times New Roman" w:hAnsi="Times New Roman" w:cs="Times New Roman"/>
          <w:sz w:val="24"/>
          <w:szCs w:val="24"/>
        </w:rPr>
        <w:t xml:space="preserve"> authorizes </w:t>
      </w:r>
      <w:r w:rsidRPr="00690F0C">
        <w:rPr>
          <w:rFonts w:ascii="Times New Roman" w:eastAsia="Times New Roman" w:hAnsi="Times New Roman" w:cs="Times New Roman"/>
          <w:color w:val="000000"/>
          <w:sz w:val="24"/>
          <w:szCs w:val="24"/>
          <w:shd w:val="clear" w:color="auto" w:fill="FFFFFF"/>
        </w:rPr>
        <w:t>AGL</w:t>
      </w:r>
      <w:r w:rsidR="00B8750F">
        <w:rPr>
          <w:rFonts w:ascii="Times New Roman" w:eastAsia="Times New Roman" w:hAnsi="Times New Roman" w:cs="Times New Roman"/>
          <w:color w:val="000000"/>
          <w:sz w:val="24"/>
          <w:szCs w:val="24"/>
          <w:shd w:val="clear" w:color="auto" w:fill="FFFFFF"/>
        </w:rPr>
        <w:t>, without further action,</w:t>
      </w:r>
      <w:r w:rsidRPr="00690F0C">
        <w:rPr>
          <w:rFonts w:ascii="Times New Roman" w:eastAsia="Times New Roman" w:hAnsi="Times New Roman" w:cs="Times New Roman"/>
          <w:color w:val="000000"/>
          <w:sz w:val="24"/>
          <w:szCs w:val="24"/>
        </w:rPr>
        <w:t xml:space="preserve"> to </w:t>
      </w:r>
      <w:r w:rsidR="002170DE">
        <w:rPr>
          <w:rFonts w:ascii="Times New Roman" w:eastAsia="Times New Roman" w:hAnsi="Times New Roman" w:cs="Times New Roman"/>
          <w:color w:val="000000"/>
          <w:sz w:val="24"/>
          <w:szCs w:val="24"/>
        </w:rPr>
        <w:t>reallocate capital across the</w:t>
      </w:r>
      <w:r w:rsidR="00A92FC5">
        <w:rPr>
          <w:rFonts w:ascii="Times New Roman" w:eastAsia="Times New Roman" w:hAnsi="Times New Roman" w:cs="Times New Roman"/>
          <w:color w:val="000000"/>
          <w:sz w:val="24"/>
          <w:szCs w:val="24"/>
        </w:rPr>
        <w:t xml:space="preserve"> </w:t>
      </w:r>
      <w:r w:rsidR="00B8750F">
        <w:rPr>
          <w:rFonts w:ascii="Times New Roman" w:eastAsia="Times New Roman" w:hAnsi="Times New Roman" w:cs="Times New Roman"/>
          <w:color w:val="000000"/>
          <w:sz w:val="24"/>
          <w:szCs w:val="24"/>
        </w:rPr>
        <w:t>GRAM</w:t>
      </w:r>
      <w:r w:rsidR="002170DE">
        <w:rPr>
          <w:rFonts w:ascii="Times New Roman" w:eastAsia="Times New Roman" w:hAnsi="Times New Roman" w:cs="Times New Roman"/>
          <w:color w:val="000000"/>
          <w:sz w:val="24"/>
          <w:szCs w:val="24"/>
        </w:rPr>
        <w:t>—Safety and Compliance and GRAM—Other Budget Categories</w:t>
      </w:r>
      <w:r w:rsidRPr="00690F0C">
        <w:rPr>
          <w:rFonts w:ascii="Times New Roman" w:eastAsia="Times New Roman" w:hAnsi="Times New Roman" w:cs="Times New Roman"/>
          <w:color w:val="000000"/>
          <w:sz w:val="24"/>
          <w:szCs w:val="24"/>
        </w:rPr>
        <w:t xml:space="preserve"> as necessary to address evolving needs and priorities.</w:t>
      </w:r>
      <w:r>
        <w:rPr>
          <w:rFonts w:ascii="Times New Roman" w:eastAsia="Times New Roman" w:hAnsi="Times New Roman" w:cs="Times New Roman"/>
          <w:color w:val="000000"/>
          <w:sz w:val="24"/>
          <w:szCs w:val="24"/>
          <w:vertAlign w:val="superscript"/>
        </w:rPr>
        <w:footnoteReference w:id="4"/>
      </w:r>
      <w:r w:rsidRPr="00690F0C">
        <w:rPr>
          <w:rFonts w:ascii="Times New Roman" w:eastAsia="Times New Roman" w:hAnsi="Times New Roman" w:cs="Times New Roman"/>
          <w:color w:val="000000"/>
          <w:sz w:val="24"/>
          <w:szCs w:val="24"/>
        </w:rPr>
        <w:t xml:space="preserve"> </w:t>
      </w:r>
      <w:r w:rsidR="000D5B8A">
        <w:rPr>
          <w:rFonts w:ascii="Times New Roman" w:eastAsia="Times New Roman" w:hAnsi="Times New Roman" w:cs="Times New Roman"/>
          <w:color w:val="000000"/>
          <w:sz w:val="24"/>
          <w:szCs w:val="24"/>
        </w:rPr>
        <w:t xml:space="preserve">Further, the </w:t>
      </w:r>
      <w:r w:rsidR="00E30D96">
        <w:rPr>
          <w:rFonts w:ascii="Times New Roman" w:eastAsia="Times New Roman" w:hAnsi="Times New Roman" w:cs="Times New Roman"/>
          <w:color w:val="000000"/>
          <w:sz w:val="24"/>
          <w:szCs w:val="24"/>
        </w:rPr>
        <w:t>Stipulation</w:t>
      </w:r>
      <w:r w:rsidR="000D5B8A">
        <w:rPr>
          <w:rFonts w:ascii="Times New Roman" w:eastAsia="Times New Roman" w:hAnsi="Times New Roman" w:cs="Times New Roman"/>
          <w:color w:val="000000"/>
          <w:sz w:val="24"/>
          <w:szCs w:val="24"/>
        </w:rPr>
        <w:t xml:space="preserve"> states that </w:t>
      </w:r>
      <w:r w:rsidRPr="000D5B8A" w:rsidR="000D5B8A">
        <w:rPr>
          <w:rFonts w:ascii="Times New Roman" w:eastAsia="Times New Roman" w:hAnsi="Times New Roman" w:cs="Times New Roman"/>
          <w:color w:val="000000"/>
          <w:sz w:val="24"/>
          <w:szCs w:val="24"/>
        </w:rPr>
        <w:t>the Company has the authority where necessary and appropriate to reprioritize projects, shift budgeted funds among authorized projects, and address new or reassessed risks, costs, and priorities.</w:t>
      </w:r>
      <w:r>
        <w:rPr>
          <w:rStyle w:val="FootnoteReference"/>
          <w:rFonts w:ascii="Times New Roman" w:eastAsia="Times New Roman" w:hAnsi="Times New Roman" w:cs="Times New Roman"/>
          <w:color w:val="000000"/>
          <w:sz w:val="24"/>
          <w:szCs w:val="24"/>
        </w:rPr>
        <w:footnoteReference w:id="5"/>
      </w:r>
      <w:r w:rsidRPr="000D5B8A" w:rsidR="000D5B8A">
        <w:rPr>
          <w:rFonts w:ascii="Times New Roman" w:eastAsia="Times New Roman" w:hAnsi="Times New Roman" w:cs="Times New Roman"/>
          <w:color w:val="000000"/>
          <w:sz w:val="24"/>
          <w:szCs w:val="24"/>
        </w:rPr>
        <w:t xml:space="preserve"> </w:t>
      </w:r>
      <w:r w:rsidRPr="00690F0C">
        <w:rPr>
          <w:rFonts w:ascii="Times New Roman" w:eastAsia="Times New Roman" w:hAnsi="Times New Roman" w:cs="Times New Roman"/>
          <w:color w:val="000000"/>
          <w:sz w:val="24"/>
          <w:szCs w:val="24"/>
        </w:rPr>
        <w:t xml:space="preserve">AGL proposed, and the Commission approved, budget parameters based on </w:t>
      </w:r>
      <w:r w:rsidRPr="00690F0C">
        <w:rPr>
          <w:rFonts w:ascii="Times New Roman" w:eastAsia="Times New Roman" w:hAnsi="Times New Roman" w:cs="Times New Roman"/>
          <w:sz w:val="24"/>
          <w:szCs w:val="24"/>
        </w:rPr>
        <w:t>information available at the time of filing. Based on the information available in 202</w:t>
      </w:r>
      <w:r w:rsidR="00DB4E67">
        <w:rPr>
          <w:rFonts w:ascii="Times New Roman" w:eastAsia="Times New Roman" w:hAnsi="Times New Roman" w:cs="Times New Roman"/>
          <w:sz w:val="24"/>
          <w:szCs w:val="24"/>
        </w:rPr>
        <w:t>4</w:t>
      </w:r>
      <w:r w:rsidRPr="00690F0C">
        <w:rPr>
          <w:rFonts w:ascii="Times New Roman" w:eastAsia="Times New Roman" w:hAnsi="Times New Roman" w:cs="Times New Roman"/>
          <w:sz w:val="24"/>
          <w:szCs w:val="24"/>
        </w:rPr>
        <w:t>, the Commission found that the budget</w:t>
      </w:r>
      <w:r w:rsidR="00300ED9">
        <w:rPr>
          <w:rFonts w:ascii="Times New Roman" w:eastAsia="Times New Roman" w:hAnsi="Times New Roman" w:cs="Times New Roman"/>
          <w:sz w:val="24"/>
          <w:szCs w:val="24"/>
        </w:rPr>
        <w:t xml:space="preserve"> estimates</w:t>
      </w:r>
      <w:r w:rsidRPr="00690F0C">
        <w:rPr>
          <w:rFonts w:ascii="Times New Roman" w:eastAsia="Times New Roman" w:hAnsi="Times New Roman" w:cs="Times New Roman"/>
          <w:sz w:val="24"/>
          <w:szCs w:val="24"/>
        </w:rPr>
        <w:t xml:space="preserve"> were reasonable and appropriate to meet customers’ needs. </w:t>
      </w:r>
      <w:r w:rsidRPr="00690F0C">
        <w:rPr>
          <w:rFonts w:ascii="Times New Roman" w:eastAsia="Calibri" w:hAnsi="Times New Roman" w:cs="Times New Roman"/>
          <w:sz w:val="24"/>
          <w:szCs w:val="24"/>
        </w:rPr>
        <w:t xml:space="preserve">AGL incorporated current economic trends into </w:t>
      </w:r>
      <w:r w:rsidR="003225B5">
        <w:rPr>
          <w:rFonts w:ascii="Times New Roman" w:eastAsia="Calibri" w:hAnsi="Times New Roman" w:cs="Times New Roman"/>
          <w:sz w:val="24"/>
          <w:szCs w:val="24"/>
        </w:rPr>
        <w:t>the Commission approved</w:t>
      </w:r>
      <w:r w:rsidRPr="00690F0C">
        <w:rPr>
          <w:rFonts w:ascii="Times New Roman" w:eastAsia="Calibri" w:hAnsi="Times New Roman" w:cs="Times New Roman"/>
          <w:sz w:val="24"/>
          <w:szCs w:val="24"/>
        </w:rPr>
        <w:t xml:space="preserve"> 2025-2034 i-CDP based on available information</w:t>
      </w:r>
      <w:r w:rsidR="00D1111E">
        <w:rPr>
          <w:rFonts w:ascii="Times New Roman" w:eastAsia="Calibri" w:hAnsi="Times New Roman" w:cs="Times New Roman"/>
          <w:sz w:val="24"/>
          <w:szCs w:val="24"/>
        </w:rPr>
        <w:t>; however, because of changed circumstances,</w:t>
      </w:r>
      <w:r w:rsidRPr="00690F0C">
        <w:rPr>
          <w:rFonts w:ascii="Times New Roman" w:eastAsia="Calibri" w:hAnsi="Times New Roman" w:cs="Times New Roman"/>
          <w:sz w:val="24"/>
          <w:szCs w:val="24"/>
        </w:rPr>
        <w:t xml:space="preserve"> AGL seeks </w:t>
      </w:r>
      <w:r w:rsidR="007548C5">
        <w:rPr>
          <w:rFonts w:ascii="Times New Roman" w:eastAsia="Calibri" w:hAnsi="Times New Roman" w:cs="Times New Roman"/>
          <w:sz w:val="24"/>
          <w:szCs w:val="24"/>
        </w:rPr>
        <w:t>amendments</w:t>
      </w:r>
      <w:r w:rsidRPr="00690F0C">
        <w:rPr>
          <w:rFonts w:ascii="Times New Roman" w:eastAsia="Calibri" w:hAnsi="Times New Roman" w:cs="Times New Roman"/>
          <w:sz w:val="24"/>
          <w:szCs w:val="24"/>
        </w:rPr>
        <w:t xml:space="preserve"> to the 202</w:t>
      </w:r>
      <w:r w:rsidR="00F34CCB">
        <w:rPr>
          <w:rFonts w:ascii="Times New Roman" w:eastAsia="Calibri" w:hAnsi="Times New Roman" w:cs="Times New Roman"/>
          <w:sz w:val="24"/>
          <w:szCs w:val="24"/>
        </w:rPr>
        <w:t>5</w:t>
      </w:r>
      <w:r w:rsidRPr="00690F0C">
        <w:rPr>
          <w:rFonts w:ascii="Times New Roman" w:eastAsia="Calibri" w:hAnsi="Times New Roman" w:cs="Times New Roman"/>
          <w:sz w:val="24"/>
          <w:szCs w:val="24"/>
        </w:rPr>
        <w:t>-203</w:t>
      </w:r>
      <w:r w:rsidR="00F34CCB">
        <w:rPr>
          <w:rFonts w:ascii="Times New Roman" w:eastAsia="Calibri" w:hAnsi="Times New Roman" w:cs="Times New Roman"/>
          <w:sz w:val="24"/>
          <w:szCs w:val="24"/>
        </w:rPr>
        <w:t>4</w:t>
      </w:r>
      <w:r w:rsidRPr="00690F0C">
        <w:rPr>
          <w:rFonts w:ascii="Times New Roman" w:eastAsia="Calibri" w:hAnsi="Times New Roman" w:cs="Times New Roman"/>
          <w:sz w:val="24"/>
          <w:szCs w:val="24"/>
        </w:rPr>
        <w:t xml:space="preserve"> i-CDP</w:t>
      </w:r>
      <w:r w:rsidR="00371E49">
        <w:rPr>
          <w:rFonts w:ascii="Times New Roman" w:eastAsia="Calibri" w:hAnsi="Times New Roman" w:cs="Times New Roman"/>
          <w:sz w:val="24"/>
          <w:szCs w:val="24"/>
        </w:rPr>
        <w:t xml:space="preserve">. </w:t>
      </w:r>
    </w:p>
    <w:p w:rsidR="00D1111E" w:rsidRPr="006B0A1A" w:rsidP="00BD467F" w14:paraId="1AB02121" w14:textId="73C72D1A">
      <w:pPr>
        <w:pStyle w:val="ListParagraph"/>
        <w:numPr>
          <w:ilvl w:val="0"/>
          <w:numId w:val="8"/>
        </w:numPr>
        <w:spacing w:line="480" w:lineRule="auto"/>
        <w:ind w:left="0" w:firstLine="0"/>
        <w:jc w:val="center"/>
        <w:rPr>
          <w:rFonts w:ascii="Times New Roman" w:eastAsia="Calibri" w:hAnsi="Times New Roman" w:cs="Times New Roman"/>
          <w:b/>
          <w:bCs/>
          <w:sz w:val="24"/>
          <w:szCs w:val="24"/>
        </w:rPr>
      </w:pPr>
      <w:r w:rsidRPr="006B0A1A">
        <w:rPr>
          <w:rFonts w:ascii="Times New Roman" w:eastAsia="Calibri" w:hAnsi="Times New Roman" w:cs="Times New Roman"/>
          <w:b/>
          <w:bCs/>
          <w:sz w:val="24"/>
          <w:szCs w:val="24"/>
        </w:rPr>
        <w:t>AMENDMENT</w:t>
      </w:r>
      <w:r w:rsidRPr="006B0A1A" w:rsidR="005156A1">
        <w:rPr>
          <w:rFonts w:ascii="Times New Roman" w:eastAsia="Calibri" w:hAnsi="Times New Roman" w:cs="Times New Roman"/>
          <w:b/>
          <w:bCs/>
          <w:sz w:val="24"/>
          <w:szCs w:val="24"/>
        </w:rPr>
        <w:t>S</w:t>
      </w:r>
      <w:r w:rsidRPr="006B0A1A">
        <w:rPr>
          <w:rFonts w:ascii="Times New Roman" w:eastAsia="Calibri" w:hAnsi="Times New Roman" w:cs="Times New Roman"/>
          <w:b/>
          <w:bCs/>
          <w:sz w:val="24"/>
          <w:szCs w:val="24"/>
        </w:rPr>
        <w:t xml:space="preserve"> TO THE 2025-2034 i-CDP</w:t>
      </w:r>
    </w:p>
    <w:p w:rsidR="00492314" w:rsidP="00492314" w14:paraId="71F3A815" w14:textId="57FC50CC">
      <w:pPr>
        <w:spacing w:line="48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Pr="00690F0C" w:rsidR="00D1111E">
        <w:rPr>
          <w:rFonts w:ascii="Times New Roman" w:eastAsia="Calibri" w:hAnsi="Times New Roman" w:cs="Times New Roman"/>
          <w:sz w:val="24"/>
          <w:szCs w:val="24"/>
        </w:rPr>
        <w:t xml:space="preserve">AGL seeks </w:t>
      </w:r>
      <w:r w:rsidR="005A3169">
        <w:rPr>
          <w:rFonts w:ascii="Times New Roman" w:eastAsia="Calibri" w:hAnsi="Times New Roman" w:cs="Times New Roman"/>
          <w:sz w:val="24"/>
          <w:szCs w:val="24"/>
        </w:rPr>
        <w:t xml:space="preserve">two </w:t>
      </w:r>
      <w:r w:rsidR="00D1111E">
        <w:rPr>
          <w:rFonts w:ascii="Times New Roman" w:eastAsia="Calibri" w:hAnsi="Times New Roman" w:cs="Times New Roman"/>
          <w:sz w:val="24"/>
          <w:szCs w:val="24"/>
        </w:rPr>
        <w:t>a</w:t>
      </w:r>
      <w:r w:rsidRPr="00690F0C" w:rsidR="00D1111E">
        <w:rPr>
          <w:rFonts w:ascii="Times New Roman" w:eastAsia="Calibri" w:hAnsi="Times New Roman" w:cs="Times New Roman"/>
          <w:sz w:val="24"/>
          <w:szCs w:val="24"/>
        </w:rPr>
        <w:t>mendment</w:t>
      </w:r>
      <w:r w:rsidR="005A3169">
        <w:rPr>
          <w:rFonts w:ascii="Times New Roman" w:eastAsia="Calibri" w:hAnsi="Times New Roman" w:cs="Times New Roman"/>
          <w:sz w:val="24"/>
          <w:szCs w:val="24"/>
        </w:rPr>
        <w:t>s</w:t>
      </w:r>
      <w:r w:rsidRPr="00690F0C" w:rsidR="00D1111E">
        <w:rPr>
          <w:rFonts w:ascii="Times New Roman" w:eastAsia="Calibri" w:hAnsi="Times New Roman" w:cs="Times New Roman"/>
          <w:sz w:val="24"/>
          <w:szCs w:val="24"/>
        </w:rPr>
        <w:t xml:space="preserve"> to the 202</w:t>
      </w:r>
      <w:r w:rsidR="00D1111E">
        <w:rPr>
          <w:rFonts w:ascii="Times New Roman" w:eastAsia="Calibri" w:hAnsi="Times New Roman" w:cs="Times New Roman"/>
          <w:sz w:val="24"/>
          <w:szCs w:val="24"/>
        </w:rPr>
        <w:t>5</w:t>
      </w:r>
      <w:r w:rsidRPr="00690F0C" w:rsidR="00D1111E">
        <w:rPr>
          <w:rFonts w:ascii="Times New Roman" w:eastAsia="Calibri" w:hAnsi="Times New Roman" w:cs="Times New Roman"/>
          <w:sz w:val="24"/>
          <w:szCs w:val="24"/>
        </w:rPr>
        <w:t>-203</w:t>
      </w:r>
      <w:r w:rsidR="00D1111E">
        <w:rPr>
          <w:rFonts w:ascii="Times New Roman" w:eastAsia="Calibri" w:hAnsi="Times New Roman" w:cs="Times New Roman"/>
          <w:sz w:val="24"/>
          <w:szCs w:val="24"/>
        </w:rPr>
        <w:t>4</w:t>
      </w:r>
      <w:r w:rsidRPr="00690F0C" w:rsidR="00D1111E">
        <w:rPr>
          <w:rFonts w:ascii="Times New Roman" w:eastAsia="Calibri" w:hAnsi="Times New Roman" w:cs="Times New Roman"/>
          <w:sz w:val="24"/>
          <w:szCs w:val="24"/>
        </w:rPr>
        <w:t xml:space="preserve"> i-CDP</w:t>
      </w:r>
      <w:r w:rsidR="005A3169">
        <w:rPr>
          <w:rFonts w:ascii="Times New Roman" w:eastAsia="Calibri" w:hAnsi="Times New Roman" w:cs="Times New Roman"/>
          <w:sz w:val="24"/>
          <w:szCs w:val="24"/>
        </w:rPr>
        <w:t>.</w:t>
      </w:r>
      <w:r w:rsidR="009861B4">
        <w:rPr>
          <w:rFonts w:ascii="Times New Roman" w:eastAsia="Calibri" w:hAnsi="Times New Roman" w:cs="Times New Roman"/>
          <w:sz w:val="24"/>
          <w:szCs w:val="24"/>
        </w:rPr>
        <w:t xml:space="preserve"> </w:t>
      </w:r>
      <w:r w:rsidR="005A3169">
        <w:rPr>
          <w:rFonts w:ascii="Times New Roman" w:eastAsia="Calibri" w:hAnsi="Times New Roman" w:cs="Times New Roman"/>
          <w:sz w:val="24"/>
          <w:szCs w:val="24"/>
        </w:rPr>
        <w:t xml:space="preserve">For the first amendment, the Company requests to </w:t>
      </w:r>
      <w:r w:rsidRPr="00BD467F" w:rsidR="009861B4">
        <w:rPr>
          <w:rFonts w:ascii="Times New Roman" w:eastAsia="Calibri" w:hAnsi="Times New Roman" w:cs="Times New Roman"/>
          <w:sz w:val="24"/>
          <w:szCs w:val="24"/>
        </w:rPr>
        <w:t xml:space="preserve">add </w:t>
      </w:r>
      <w:r w:rsidRPr="00BD467F" w:rsidR="00554B26">
        <w:rPr>
          <w:rFonts w:ascii="Times New Roman" w:eastAsia="Calibri" w:hAnsi="Times New Roman" w:cs="Times New Roman"/>
          <w:sz w:val="24"/>
          <w:szCs w:val="24"/>
        </w:rPr>
        <w:t>four (4)</w:t>
      </w:r>
      <w:r w:rsidRPr="00BD467F" w:rsidR="009861B4">
        <w:rPr>
          <w:rFonts w:ascii="Times New Roman" w:eastAsia="Calibri" w:hAnsi="Times New Roman" w:cs="Times New Roman"/>
          <w:sz w:val="24"/>
          <w:szCs w:val="24"/>
        </w:rPr>
        <w:t xml:space="preserve"> tap stations </w:t>
      </w:r>
      <w:r w:rsidRPr="00997A60" w:rsidR="00554B26">
        <w:rPr>
          <w:rFonts w:ascii="Times New Roman" w:eastAsia="Calibri" w:hAnsi="Times New Roman" w:cs="Times New Roman"/>
          <w:sz w:val="24"/>
          <w:szCs w:val="24"/>
        </w:rPr>
        <w:t xml:space="preserve">and one (1) </w:t>
      </w:r>
      <w:r w:rsidR="00E13933">
        <w:rPr>
          <w:rFonts w:ascii="Times New Roman" w:eastAsia="Calibri" w:hAnsi="Times New Roman" w:cs="Times New Roman"/>
          <w:sz w:val="24"/>
          <w:szCs w:val="24"/>
        </w:rPr>
        <w:t xml:space="preserve">Riverdale </w:t>
      </w:r>
      <w:r w:rsidRPr="00997A60" w:rsidR="00554B26">
        <w:rPr>
          <w:rFonts w:ascii="Times New Roman" w:eastAsia="Calibri" w:hAnsi="Times New Roman" w:cs="Times New Roman"/>
          <w:sz w:val="24"/>
          <w:szCs w:val="24"/>
        </w:rPr>
        <w:t xml:space="preserve">LNG </w:t>
      </w:r>
      <w:r w:rsidR="00B225B5">
        <w:rPr>
          <w:rFonts w:ascii="Times New Roman" w:eastAsia="Calibri" w:hAnsi="Times New Roman" w:cs="Times New Roman"/>
          <w:sz w:val="24"/>
          <w:szCs w:val="24"/>
        </w:rPr>
        <w:t>tap meter</w:t>
      </w:r>
      <w:r w:rsidR="00CC5546">
        <w:rPr>
          <w:rFonts w:ascii="Times New Roman" w:eastAsia="Calibri" w:hAnsi="Times New Roman" w:cs="Times New Roman"/>
          <w:sz w:val="24"/>
          <w:szCs w:val="24"/>
        </w:rPr>
        <w:t xml:space="preserve"> </w:t>
      </w:r>
      <w:r w:rsidRPr="00997A60" w:rsidR="009861B4">
        <w:rPr>
          <w:rFonts w:ascii="Times New Roman" w:eastAsia="Calibri" w:hAnsi="Times New Roman" w:cs="Times New Roman"/>
          <w:sz w:val="24"/>
          <w:szCs w:val="24"/>
        </w:rPr>
        <w:t xml:space="preserve">to the 2025-2034 i-CDP </w:t>
      </w:r>
      <w:r w:rsidR="005A3169">
        <w:rPr>
          <w:rFonts w:ascii="Times New Roman" w:eastAsia="Calibri" w:hAnsi="Times New Roman" w:cs="Times New Roman"/>
          <w:sz w:val="24"/>
          <w:szCs w:val="24"/>
        </w:rPr>
        <w:t>to the</w:t>
      </w:r>
      <w:r w:rsidRPr="00997A60" w:rsidR="009861B4">
        <w:rPr>
          <w:rFonts w:ascii="Times New Roman" w:eastAsia="Calibri" w:hAnsi="Times New Roman" w:cs="Times New Roman"/>
          <w:sz w:val="24"/>
          <w:szCs w:val="24"/>
        </w:rPr>
        <w:t xml:space="preserve"> </w:t>
      </w:r>
      <w:r w:rsidR="00F947F9">
        <w:rPr>
          <w:rFonts w:ascii="Times New Roman" w:eastAsia="Calibri" w:hAnsi="Times New Roman" w:cs="Times New Roman"/>
          <w:sz w:val="24"/>
          <w:szCs w:val="24"/>
        </w:rPr>
        <w:t>System Reinforcement Rider (“</w:t>
      </w:r>
      <w:r w:rsidRPr="00997A60" w:rsidR="009861B4">
        <w:rPr>
          <w:rFonts w:ascii="Times New Roman" w:eastAsia="Calibri" w:hAnsi="Times New Roman" w:cs="Times New Roman"/>
          <w:sz w:val="24"/>
          <w:szCs w:val="24"/>
        </w:rPr>
        <w:t>SRR</w:t>
      </w:r>
      <w:r w:rsidR="00F947F9">
        <w:rPr>
          <w:rFonts w:ascii="Times New Roman" w:eastAsia="Calibri" w:hAnsi="Times New Roman" w:cs="Times New Roman"/>
          <w:sz w:val="24"/>
          <w:szCs w:val="24"/>
        </w:rPr>
        <w:t>”)</w:t>
      </w:r>
      <w:r w:rsidRPr="00997A60" w:rsidR="009861B4">
        <w:rPr>
          <w:rFonts w:ascii="Times New Roman" w:eastAsia="Calibri" w:hAnsi="Times New Roman" w:cs="Times New Roman"/>
          <w:sz w:val="24"/>
          <w:szCs w:val="24"/>
        </w:rPr>
        <w:t xml:space="preserve"> </w:t>
      </w:r>
      <w:r w:rsidR="005A3169">
        <w:rPr>
          <w:rFonts w:ascii="Times New Roman" w:eastAsia="Calibri" w:hAnsi="Times New Roman" w:cs="Times New Roman"/>
          <w:sz w:val="24"/>
          <w:szCs w:val="24"/>
        </w:rPr>
        <w:t>for recovery.</w:t>
      </w:r>
      <w:r w:rsidRPr="00690F0C" w:rsidR="00D1111E">
        <w:rPr>
          <w:rFonts w:ascii="Times New Roman" w:eastAsia="Calibri" w:hAnsi="Times New Roman" w:cs="Times New Roman"/>
          <w:sz w:val="24"/>
          <w:szCs w:val="24"/>
        </w:rPr>
        <w:t xml:space="preserve"> </w:t>
      </w:r>
      <w:r w:rsidR="005A3169">
        <w:rPr>
          <w:rFonts w:ascii="Times New Roman" w:eastAsia="Calibri" w:hAnsi="Times New Roman" w:cs="Times New Roman"/>
          <w:sz w:val="24"/>
          <w:szCs w:val="24"/>
        </w:rPr>
        <w:t xml:space="preserve">For the second amendment, the Company requests to have </w:t>
      </w:r>
      <w:r w:rsidR="00F947F9">
        <w:rPr>
          <w:rFonts w:ascii="Times New Roman" w:eastAsia="Calibri" w:hAnsi="Times New Roman" w:cs="Times New Roman"/>
          <w:sz w:val="24"/>
          <w:szCs w:val="24"/>
        </w:rPr>
        <w:t>the</w:t>
      </w:r>
      <w:r w:rsidR="005A3169">
        <w:rPr>
          <w:rFonts w:ascii="Times New Roman" w:eastAsia="Calibri" w:hAnsi="Times New Roman" w:cs="Times New Roman"/>
          <w:sz w:val="24"/>
          <w:szCs w:val="24"/>
        </w:rPr>
        <w:t xml:space="preserve">  2025 – 2027 Georgia Rate Adjustment Mechanism (“GRAM”</w:t>
      </w:r>
      <w:r w:rsidR="00F0726C">
        <w:rPr>
          <w:rFonts w:ascii="Times New Roman" w:eastAsia="Calibri" w:hAnsi="Times New Roman" w:cs="Times New Roman"/>
          <w:sz w:val="24"/>
          <w:szCs w:val="24"/>
        </w:rPr>
        <w:t>)</w:t>
      </w:r>
      <w:r w:rsidR="00F947F9">
        <w:rPr>
          <w:rFonts w:ascii="Times New Roman" w:eastAsia="Calibri" w:hAnsi="Times New Roman" w:cs="Times New Roman"/>
          <w:sz w:val="24"/>
          <w:szCs w:val="24"/>
        </w:rPr>
        <w:t xml:space="preserve"> capital budget</w:t>
      </w:r>
      <w:r w:rsidR="005A3169">
        <w:rPr>
          <w:rFonts w:ascii="Times New Roman" w:eastAsia="Calibri" w:hAnsi="Times New Roman" w:cs="Times New Roman"/>
          <w:sz w:val="24"/>
          <w:szCs w:val="24"/>
        </w:rPr>
        <w:t xml:space="preserve">, </w:t>
      </w:r>
      <w:r w:rsidR="00E13933">
        <w:rPr>
          <w:rFonts w:ascii="Times New Roman" w:eastAsia="Calibri" w:hAnsi="Times New Roman" w:cs="Times New Roman"/>
          <w:sz w:val="24"/>
          <w:szCs w:val="24"/>
        </w:rPr>
        <w:t xml:space="preserve">the 2025 – 2027 </w:t>
      </w:r>
      <w:r w:rsidR="005A3169">
        <w:rPr>
          <w:rFonts w:ascii="Times New Roman" w:eastAsia="Calibri" w:hAnsi="Times New Roman" w:cs="Times New Roman"/>
          <w:sz w:val="24"/>
          <w:szCs w:val="24"/>
        </w:rPr>
        <w:t>SRR</w:t>
      </w:r>
      <w:r w:rsidR="00F947F9">
        <w:rPr>
          <w:rFonts w:ascii="Times New Roman" w:eastAsia="Calibri" w:hAnsi="Times New Roman" w:cs="Times New Roman"/>
          <w:sz w:val="24"/>
          <w:szCs w:val="24"/>
        </w:rPr>
        <w:t xml:space="preserve"> capital budget</w:t>
      </w:r>
      <w:r w:rsidR="005A3169">
        <w:rPr>
          <w:rFonts w:ascii="Times New Roman" w:eastAsia="Calibri" w:hAnsi="Times New Roman" w:cs="Times New Roman"/>
          <w:sz w:val="24"/>
          <w:szCs w:val="24"/>
        </w:rPr>
        <w:t xml:space="preserve">, and </w:t>
      </w:r>
      <w:r w:rsidR="00E13933">
        <w:rPr>
          <w:rFonts w:ascii="Times New Roman" w:eastAsia="Calibri" w:hAnsi="Times New Roman" w:cs="Times New Roman"/>
          <w:sz w:val="24"/>
          <w:szCs w:val="24"/>
        </w:rPr>
        <w:t xml:space="preserve">the 2025 – 2027 </w:t>
      </w:r>
      <w:r w:rsidR="005A3169">
        <w:rPr>
          <w:rFonts w:ascii="Times New Roman" w:eastAsia="Calibri" w:hAnsi="Times New Roman" w:cs="Times New Roman"/>
          <w:sz w:val="24"/>
          <w:szCs w:val="24"/>
        </w:rPr>
        <w:t>Liquified Natural Gas (“LNG”) Tracker capital budget combined to allow capital budget over-spending related to the</w:t>
      </w:r>
      <w:r w:rsidR="00AA4604">
        <w:rPr>
          <w:rFonts w:ascii="Times New Roman" w:eastAsia="Calibri" w:hAnsi="Times New Roman" w:cs="Times New Roman"/>
          <w:sz w:val="24"/>
          <w:szCs w:val="24"/>
        </w:rPr>
        <w:t xml:space="preserve"> </w:t>
      </w:r>
      <w:r w:rsidR="005A3169">
        <w:rPr>
          <w:rFonts w:ascii="Times New Roman" w:eastAsia="Calibri" w:hAnsi="Times New Roman" w:cs="Times New Roman"/>
          <w:sz w:val="24"/>
          <w:szCs w:val="24"/>
        </w:rPr>
        <w:t xml:space="preserve">LNG Tracker to be netted against the capital budget under-spending in the GRAM and SRR. </w:t>
      </w:r>
      <w:r>
        <w:rPr>
          <w:rFonts w:ascii="Times New Roman" w:eastAsia="Calibri" w:hAnsi="Times New Roman" w:cs="Times New Roman"/>
          <w:sz w:val="24"/>
          <w:szCs w:val="24"/>
        </w:rPr>
        <w:t>Section 5 of the Governance Document states:</w:t>
      </w:r>
    </w:p>
    <w:p w:rsidR="00492314" w:rsidP="00DE606B" w14:paraId="2B841734" w14:textId="77777777">
      <w:pPr>
        <w:ind w:left="720" w:right="720" w:firstLine="720"/>
        <w:jc w:val="both"/>
        <w:rPr>
          <w:rFonts w:ascii="Times New Roman" w:eastAsia="Times New Roman" w:hAnsi="Times New Roman" w:cs="Times New Roman"/>
          <w:i/>
          <w:iCs/>
          <w:sz w:val="24"/>
          <w:szCs w:val="24"/>
        </w:rPr>
      </w:pPr>
      <w:r w:rsidRPr="00475A4E">
        <w:rPr>
          <w:rFonts w:ascii="Times New Roman" w:eastAsia="Times New Roman" w:hAnsi="Times New Roman" w:cs="Times New Roman"/>
          <w:i/>
          <w:iCs/>
          <w:sz w:val="24"/>
          <w:szCs w:val="24"/>
        </w:rPr>
        <w:t>Certain factors and circumstances may require AGL to deviate from an approved i-CDP. Examples of such factors and circumstances could include, but not be limited to, changes to FERC­ regulated interstate suppliers' planned additions that affect a planned AGL intrastate project, new compliance regulations, newly discovered risks, revised assessments of previously known risks, shifts in customer growth and retention patterns, accelerated local, state and federal infrastructure projects, and other factors that require that AGL reprioritize projects within an existing i-CDP. If a deviation from the approved i-CDP is inconsistent with the approved i-CDP, an amendment is required. Additionally, if AGL cannot meet the needs of its customers' and continue to provide safe and reliable service within the parameters for capital budgets and related O&amp;M spending established in the then-existing i-CDP as approved by the Commission, the Company will seek approval to amend the i-CDP</w:t>
      </w:r>
      <w:r>
        <w:rPr>
          <w:rFonts w:ascii="Times New Roman" w:eastAsia="Times New Roman" w:hAnsi="Times New Roman" w:cs="Times New Roman"/>
          <w:i/>
          <w:iCs/>
          <w:sz w:val="24"/>
          <w:szCs w:val="24"/>
        </w:rPr>
        <w:t>.</w:t>
      </w:r>
    </w:p>
    <w:p w:rsidR="00FA692D" w:rsidP="00D976C3" w14:paraId="057AFD30" w14:textId="77777777">
      <w:pPr>
        <w:ind w:firstLine="720"/>
        <w:jc w:val="both"/>
        <w:rPr>
          <w:rFonts w:ascii="Times New Roman" w:eastAsia="Calibri" w:hAnsi="Times New Roman" w:cs="Times New Roman"/>
          <w:sz w:val="24"/>
          <w:szCs w:val="24"/>
        </w:rPr>
      </w:pPr>
    </w:p>
    <w:p w:rsidR="007C2099" w:rsidRPr="000A7763" w:rsidP="007C2099" w14:paraId="5A4FBF00" w14:textId="77777777">
      <w:pPr>
        <w:spacing w:line="480" w:lineRule="auto"/>
        <w:ind w:firstLine="720"/>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 xml:space="preserve">These proposed amendments are intended to provide for the addition of the approved new gas capacity into AGL’s system, adjust for </w:t>
      </w:r>
      <w:r w:rsidRPr="00650258">
        <w:rPr>
          <w:rFonts w:ascii="Times New Roman" w:eastAsia="Times New Roman" w:hAnsi="Times New Roman" w:cs="Times New Roman"/>
          <w:color w:val="000000"/>
          <w:sz w:val="24"/>
          <w:szCs w:val="24"/>
        </w:rPr>
        <w:t xml:space="preserve">some System Reinforcement pipeline project timeline changes due to land </w:t>
      </w:r>
      <w:r w:rsidR="00E72707">
        <w:rPr>
          <w:rFonts w:ascii="Times New Roman" w:eastAsia="Times New Roman" w:hAnsi="Times New Roman" w:cs="Times New Roman"/>
          <w:color w:val="000000"/>
          <w:sz w:val="24"/>
          <w:szCs w:val="24"/>
        </w:rPr>
        <w:t xml:space="preserve">access </w:t>
      </w:r>
      <w:r w:rsidRPr="00650258">
        <w:rPr>
          <w:rFonts w:ascii="Times New Roman" w:eastAsia="Times New Roman" w:hAnsi="Times New Roman" w:cs="Times New Roman"/>
          <w:color w:val="000000"/>
          <w:sz w:val="24"/>
          <w:szCs w:val="24"/>
        </w:rPr>
        <w:t>and other challeng</w:t>
      </w:r>
      <w:r w:rsidRPr="00BC2E21">
        <w:rPr>
          <w:rFonts w:ascii="Times New Roman" w:eastAsia="Times New Roman" w:hAnsi="Times New Roman" w:cs="Times New Roman"/>
          <w:color w:val="000000"/>
          <w:sz w:val="24"/>
          <w:szCs w:val="24"/>
        </w:rPr>
        <w:t>es,</w:t>
      </w:r>
      <w:r w:rsidRPr="00BC2E21" w:rsidR="000064CA">
        <w:rPr>
          <w:rFonts w:ascii="Times New Roman" w:eastAsia="Times New Roman" w:hAnsi="Times New Roman" w:cs="Times New Roman"/>
          <w:color w:val="000000"/>
          <w:sz w:val="24"/>
          <w:szCs w:val="24"/>
        </w:rPr>
        <w:t xml:space="preserve"> account for FERC interstate pipeline additions that impact planned AGL intrastate projects,</w:t>
      </w:r>
      <w:r w:rsidRPr="00BC2E21">
        <w:rPr>
          <w:rFonts w:ascii="Times New Roman" w:eastAsia="Times New Roman" w:hAnsi="Times New Roman" w:cs="Times New Roman"/>
          <w:color w:val="000000"/>
          <w:sz w:val="24"/>
          <w:szCs w:val="24"/>
        </w:rPr>
        <w:t xml:space="preserve"> and</w:t>
      </w:r>
      <w:r w:rsidRPr="00650258">
        <w:rPr>
          <w:rFonts w:ascii="Times New Roman" w:eastAsia="Times New Roman" w:hAnsi="Times New Roman" w:cs="Times New Roman"/>
          <w:color w:val="000000"/>
          <w:sz w:val="24"/>
          <w:szCs w:val="24"/>
        </w:rPr>
        <w:t xml:space="preserve"> </w:t>
      </w:r>
      <w:r w:rsidR="00671393">
        <w:rPr>
          <w:rFonts w:ascii="Times New Roman" w:eastAsia="Times New Roman" w:hAnsi="Times New Roman" w:cs="Times New Roman"/>
          <w:color w:val="000000"/>
          <w:sz w:val="24"/>
          <w:szCs w:val="24"/>
        </w:rPr>
        <w:t xml:space="preserve">address </w:t>
      </w:r>
      <w:r w:rsidRPr="00650258">
        <w:rPr>
          <w:rFonts w:ascii="Times New Roman" w:eastAsia="Times New Roman" w:hAnsi="Times New Roman" w:cs="Times New Roman"/>
          <w:color w:val="000000"/>
          <w:sz w:val="24"/>
          <w:szCs w:val="24"/>
        </w:rPr>
        <w:t>reasonable but unplanned cost increases on the Cherokee LNG Expansion project</w:t>
      </w:r>
      <w:r w:rsidRPr="00650258" w:rsidR="00D976C3">
        <w:rPr>
          <w:rFonts w:ascii="Times New Roman" w:eastAsia="Times New Roman" w:hAnsi="Times New Roman" w:cs="Times New Roman"/>
          <w:color w:val="000000"/>
          <w:sz w:val="24"/>
          <w:szCs w:val="24"/>
        </w:rPr>
        <w:t>.</w:t>
      </w:r>
      <w:r w:rsidRPr="00650258">
        <w:rPr>
          <w:rFonts w:ascii="Times New Roman" w:eastAsia="Times New Roman" w:hAnsi="Times New Roman" w:cs="Times New Roman"/>
          <w:color w:val="000000"/>
          <w:sz w:val="24"/>
          <w:szCs w:val="24"/>
        </w:rPr>
        <w:t xml:space="preserve"> </w:t>
      </w:r>
      <w:r w:rsidRPr="00690F0C">
        <w:rPr>
          <w:rFonts w:ascii="Times New Roman" w:eastAsia="Calibri" w:hAnsi="Times New Roman" w:cs="Times New Roman"/>
          <w:sz w:val="24"/>
          <w:szCs w:val="24"/>
        </w:rPr>
        <w:t xml:space="preserve">AGL is mindful of its </w:t>
      </w:r>
      <w:r w:rsidR="00B26182">
        <w:rPr>
          <w:rFonts w:ascii="Times New Roman" w:eastAsia="Calibri" w:hAnsi="Times New Roman" w:cs="Times New Roman"/>
          <w:sz w:val="24"/>
          <w:szCs w:val="24"/>
        </w:rPr>
        <w:t xml:space="preserve">commitment </w:t>
      </w:r>
      <w:r w:rsidRPr="00690F0C">
        <w:rPr>
          <w:rFonts w:ascii="Times New Roman" w:eastAsia="Times New Roman" w:hAnsi="Times New Roman" w:cs="Times New Roman"/>
          <w:sz w:val="24"/>
          <w:szCs w:val="24"/>
        </w:rPr>
        <w:t xml:space="preserve">to manage the Company using authorized revenues </w:t>
      </w:r>
      <w:r>
        <w:rPr>
          <w:rFonts w:ascii="Times New Roman" w:eastAsia="Times New Roman" w:hAnsi="Times New Roman" w:cs="Times New Roman"/>
          <w:sz w:val="24"/>
          <w:szCs w:val="24"/>
        </w:rPr>
        <w:t xml:space="preserve">and, under the proposed amendment, AGL will not exceed </w:t>
      </w:r>
      <w:r w:rsidRPr="00F520DB" w:rsidR="007A1353">
        <w:rPr>
          <w:rFonts w:ascii="Times New Roman" w:hAnsi="Times New Roman" w:cs="Times New Roman"/>
          <w:sz w:val="24"/>
          <w:szCs w:val="24"/>
        </w:rPr>
        <w:t>the authorized aggregate capital budgets (</w:t>
      </w:r>
      <w:r w:rsidR="00671393">
        <w:rPr>
          <w:rFonts w:ascii="Times New Roman" w:hAnsi="Times New Roman" w:cs="Times New Roman"/>
          <w:sz w:val="24"/>
          <w:szCs w:val="24"/>
        </w:rPr>
        <w:t xml:space="preserve">the budgets within the approved i-CDP specifically </w:t>
      </w:r>
      <w:r w:rsidRPr="00F520DB" w:rsidR="007A1353">
        <w:rPr>
          <w:rFonts w:ascii="Times New Roman" w:hAnsi="Times New Roman" w:cs="Times New Roman"/>
          <w:sz w:val="24"/>
          <w:szCs w:val="24"/>
        </w:rPr>
        <w:t>exclud</w:t>
      </w:r>
      <w:r w:rsidR="00671393">
        <w:rPr>
          <w:rFonts w:ascii="Times New Roman" w:hAnsi="Times New Roman" w:cs="Times New Roman"/>
          <w:sz w:val="24"/>
          <w:szCs w:val="24"/>
        </w:rPr>
        <w:t>e</w:t>
      </w:r>
      <w:r w:rsidRPr="00F520DB" w:rsidR="007A1353">
        <w:rPr>
          <w:rFonts w:ascii="Times New Roman" w:hAnsi="Times New Roman" w:cs="Times New Roman"/>
          <w:sz w:val="24"/>
          <w:szCs w:val="24"/>
        </w:rPr>
        <w:t xml:space="preserve"> DOT and ECON-1 Rider projects).</w:t>
      </w:r>
      <w:r w:rsidRPr="00690F0C">
        <w:rPr>
          <w:rFonts w:ascii="Times New Roman" w:eastAsia="Times New Roman" w:hAnsi="Times New Roman" w:cs="Times New Roman"/>
          <w:sz w:val="24"/>
          <w:szCs w:val="24"/>
        </w:rPr>
        <w:t xml:space="preserve"> </w:t>
      </w:r>
    </w:p>
    <w:p w:rsidR="00C45C83" w:rsidRPr="000A7763" w:rsidP="00BB5A9C" w14:paraId="405F556A" w14:textId="2A386E9F">
      <w:pPr>
        <w:ind w:firstLine="720"/>
        <w:jc w:val="both"/>
        <w:rPr>
          <w:rFonts w:ascii="Times New Roman" w:eastAsia="Calibri" w:hAnsi="Times New Roman" w:cs="Times New Roman"/>
          <w:b/>
          <w:bCs/>
          <w:sz w:val="24"/>
          <w:szCs w:val="24"/>
        </w:rPr>
      </w:pPr>
      <w:r w:rsidRPr="000A7763">
        <w:rPr>
          <w:rFonts w:ascii="Times New Roman" w:eastAsia="Calibri" w:hAnsi="Times New Roman" w:cs="Times New Roman"/>
          <w:b/>
          <w:bCs/>
          <w:sz w:val="24"/>
          <w:szCs w:val="24"/>
        </w:rPr>
        <w:t>1.</w:t>
      </w:r>
      <w:r w:rsidRPr="000A7763">
        <w:rPr>
          <w:rFonts w:ascii="Times New Roman" w:eastAsia="Calibri" w:hAnsi="Times New Roman" w:cs="Times New Roman"/>
          <w:b/>
          <w:bCs/>
          <w:sz w:val="24"/>
          <w:szCs w:val="24"/>
        </w:rPr>
        <w:tab/>
        <w:t xml:space="preserve">Amendment to </w:t>
      </w:r>
      <w:r w:rsidRPr="009D78B9">
        <w:rPr>
          <w:rFonts w:ascii="Times New Roman" w:eastAsia="Calibri" w:hAnsi="Times New Roman" w:cs="Times New Roman"/>
          <w:b/>
          <w:bCs/>
          <w:sz w:val="24"/>
          <w:szCs w:val="24"/>
        </w:rPr>
        <w:t xml:space="preserve">Add </w:t>
      </w:r>
      <w:r w:rsidRPr="009D78B9" w:rsidR="00554B26">
        <w:rPr>
          <w:rFonts w:ascii="Times New Roman" w:eastAsia="Calibri" w:hAnsi="Times New Roman" w:cs="Times New Roman"/>
          <w:b/>
          <w:bCs/>
          <w:sz w:val="24"/>
          <w:szCs w:val="24"/>
        </w:rPr>
        <w:t>Four (4)</w:t>
      </w:r>
      <w:r w:rsidRPr="009D78B9">
        <w:rPr>
          <w:rFonts w:ascii="Times New Roman" w:eastAsia="Calibri" w:hAnsi="Times New Roman" w:cs="Times New Roman"/>
          <w:b/>
          <w:bCs/>
          <w:sz w:val="24"/>
          <w:szCs w:val="24"/>
        </w:rPr>
        <w:t xml:space="preserve"> Tap Stations</w:t>
      </w:r>
      <w:r w:rsidRPr="009D78B9" w:rsidR="00554B26">
        <w:rPr>
          <w:rFonts w:ascii="Times New Roman" w:eastAsia="Calibri" w:hAnsi="Times New Roman" w:cs="Times New Roman"/>
          <w:b/>
          <w:bCs/>
          <w:sz w:val="24"/>
          <w:szCs w:val="24"/>
        </w:rPr>
        <w:t xml:space="preserve"> and</w:t>
      </w:r>
      <w:r w:rsidR="00554B26">
        <w:rPr>
          <w:rFonts w:ascii="Times New Roman" w:eastAsia="Calibri" w:hAnsi="Times New Roman" w:cs="Times New Roman"/>
          <w:b/>
          <w:bCs/>
          <w:sz w:val="24"/>
          <w:szCs w:val="24"/>
        </w:rPr>
        <w:t xml:space="preserve"> One (1) </w:t>
      </w:r>
      <w:r w:rsidR="00E13933">
        <w:rPr>
          <w:rFonts w:ascii="Times New Roman" w:eastAsia="Calibri" w:hAnsi="Times New Roman" w:cs="Times New Roman"/>
          <w:b/>
          <w:bCs/>
          <w:sz w:val="24"/>
          <w:szCs w:val="24"/>
        </w:rPr>
        <w:t xml:space="preserve">Riverdale </w:t>
      </w:r>
      <w:r w:rsidR="00554B26">
        <w:rPr>
          <w:rFonts w:ascii="Times New Roman" w:eastAsia="Calibri" w:hAnsi="Times New Roman" w:cs="Times New Roman"/>
          <w:b/>
          <w:bCs/>
          <w:sz w:val="24"/>
          <w:szCs w:val="24"/>
        </w:rPr>
        <w:t xml:space="preserve">LNG </w:t>
      </w:r>
      <w:r w:rsidR="00B225B5">
        <w:rPr>
          <w:rFonts w:ascii="Times New Roman" w:eastAsia="Calibri" w:hAnsi="Times New Roman" w:cs="Times New Roman"/>
          <w:b/>
          <w:bCs/>
          <w:sz w:val="24"/>
          <w:szCs w:val="24"/>
        </w:rPr>
        <w:t xml:space="preserve">Tap </w:t>
      </w:r>
      <w:r w:rsidR="00554B26">
        <w:rPr>
          <w:rFonts w:ascii="Times New Roman" w:eastAsia="Calibri" w:hAnsi="Times New Roman" w:cs="Times New Roman"/>
          <w:b/>
          <w:bCs/>
          <w:sz w:val="24"/>
          <w:szCs w:val="24"/>
        </w:rPr>
        <w:t>Meter</w:t>
      </w:r>
      <w:r w:rsidR="00E13933">
        <w:rPr>
          <w:rFonts w:ascii="Times New Roman" w:eastAsia="Calibri" w:hAnsi="Times New Roman" w:cs="Times New Roman"/>
          <w:b/>
          <w:bCs/>
          <w:sz w:val="24"/>
          <w:szCs w:val="24"/>
        </w:rPr>
        <w:t xml:space="preserve"> </w:t>
      </w:r>
      <w:r w:rsidRPr="000A7763">
        <w:rPr>
          <w:rFonts w:ascii="Times New Roman" w:eastAsia="Calibri" w:hAnsi="Times New Roman" w:cs="Times New Roman"/>
          <w:b/>
          <w:bCs/>
          <w:sz w:val="24"/>
          <w:szCs w:val="24"/>
        </w:rPr>
        <w:t>to the 2025-2034 i-CDP SRR Projects</w:t>
      </w:r>
    </w:p>
    <w:p w:rsidR="000A7763" w:rsidP="000A7763" w14:paraId="245CAB5C" w14:textId="77777777">
      <w:pPr>
        <w:ind w:firstLine="720"/>
        <w:jc w:val="both"/>
        <w:rPr>
          <w:rFonts w:ascii="Times New Roman" w:eastAsia="Calibri" w:hAnsi="Times New Roman" w:cs="Times New Roman"/>
          <w:sz w:val="24"/>
          <w:szCs w:val="24"/>
        </w:rPr>
      </w:pPr>
    </w:p>
    <w:p w:rsidR="00956894" w:rsidRPr="00015F51" w:rsidP="00721702" w14:paraId="56BC7BAD" w14:textId="121BBC42">
      <w:pPr>
        <w:spacing w:line="480" w:lineRule="auto"/>
        <w:ind w:firstLine="720"/>
        <w:jc w:val="both"/>
        <w:rPr>
          <w:rFonts w:ascii="Times New Roman" w:eastAsia="Calibri" w:hAnsi="Times New Roman" w:cs="Times New Roman"/>
          <w:color w:val="000000" w:themeColor="text1"/>
          <w:sz w:val="24"/>
          <w:szCs w:val="24"/>
        </w:rPr>
      </w:pPr>
      <w:r>
        <w:rPr>
          <w:rFonts w:ascii="Times New Roman" w:eastAsia="Calibri" w:hAnsi="Times New Roman" w:cs="Times New Roman"/>
          <w:sz w:val="24"/>
          <w:szCs w:val="24"/>
        </w:rPr>
        <w:t xml:space="preserve">AGL seeks an amendment </w:t>
      </w:r>
      <w:r w:rsidR="00251623">
        <w:rPr>
          <w:rFonts w:ascii="Times New Roman" w:eastAsia="Calibri" w:hAnsi="Times New Roman" w:cs="Times New Roman"/>
          <w:sz w:val="24"/>
          <w:szCs w:val="24"/>
        </w:rPr>
        <w:t xml:space="preserve">to </w:t>
      </w:r>
      <w:r w:rsidR="00C24C34">
        <w:rPr>
          <w:rFonts w:ascii="Times New Roman" w:eastAsia="Calibri" w:hAnsi="Times New Roman" w:cs="Times New Roman"/>
          <w:sz w:val="24"/>
          <w:szCs w:val="24"/>
        </w:rPr>
        <w:t>upgrade</w:t>
      </w:r>
      <w:r w:rsidR="00251623">
        <w:rPr>
          <w:rFonts w:ascii="Times New Roman" w:eastAsia="Calibri" w:hAnsi="Times New Roman" w:cs="Times New Roman"/>
          <w:sz w:val="24"/>
          <w:szCs w:val="24"/>
        </w:rPr>
        <w:t xml:space="preserve"> </w:t>
      </w:r>
      <w:r w:rsidR="00554B26">
        <w:rPr>
          <w:rFonts w:ascii="Times New Roman" w:eastAsia="Calibri" w:hAnsi="Times New Roman" w:cs="Times New Roman"/>
          <w:sz w:val="24"/>
          <w:szCs w:val="24"/>
        </w:rPr>
        <w:t>four (4)</w:t>
      </w:r>
      <w:r>
        <w:rPr>
          <w:rFonts w:ascii="Times New Roman" w:eastAsia="Calibri" w:hAnsi="Times New Roman" w:cs="Times New Roman"/>
          <w:sz w:val="24"/>
          <w:szCs w:val="24"/>
        </w:rPr>
        <w:t xml:space="preserve"> tap stations</w:t>
      </w:r>
      <w:r w:rsidR="002D1E72">
        <w:rPr>
          <w:rFonts w:ascii="Times New Roman" w:eastAsia="Calibri" w:hAnsi="Times New Roman" w:cs="Times New Roman"/>
          <w:sz w:val="24"/>
          <w:szCs w:val="24"/>
        </w:rPr>
        <w:t xml:space="preserve"> and one (1) </w:t>
      </w:r>
      <w:r w:rsidR="00E13933">
        <w:rPr>
          <w:rFonts w:ascii="Times New Roman" w:eastAsia="Calibri" w:hAnsi="Times New Roman" w:cs="Times New Roman"/>
          <w:sz w:val="24"/>
          <w:szCs w:val="24"/>
        </w:rPr>
        <w:t xml:space="preserve">Riverdale </w:t>
      </w:r>
      <w:r w:rsidR="002D1E72">
        <w:rPr>
          <w:rFonts w:ascii="Times New Roman" w:eastAsia="Calibri" w:hAnsi="Times New Roman" w:cs="Times New Roman"/>
          <w:sz w:val="24"/>
          <w:szCs w:val="24"/>
        </w:rPr>
        <w:t xml:space="preserve">LNG </w:t>
      </w:r>
      <w:r w:rsidR="00B225B5">
        <w:rPr>
          <w:rFonts w:ascii="Times New Roman" w:eastAsia="Calibri" w:hAnsi="Times New Roman" w:cs="Times New Roman"/>
          <w:sz w:val="24"/>
          <w:szCs w:val="24"/>
        </w:rPr>
        <w:t xml:space="preserve">tap meter </w:t>
      </w:r>
      <w:r w:rsidR="00251623">
        <w:rPr>
          <w:rFonts w:ascii="Times New Roman" w:eastAsia="Calibri" w:hAnsi="Times New Roman" w:cs="Times New Roman"/>
          <w:sz w:val="24"/>
          <w:szCs w:val="24"/>
        </w:rPr>
        <w:t>to the SRR</w:t>
      </w:r>
      <w:r w:rsidR="002D1E72">
        <w:rPr>
          <w:rFonts w:ascii="Times New Roman" w:eastAsia="Calibri" w:hAnsi="Times New Roman" w:cs="Times New Roman"/>
          <w:sz w:val="24"/>
          <w:szCs w:val="24"/>
        </w:rPr>
        <w:t xml:space="preserve"> for recovery.</w:t>
      </w:r>
      <w:r w:rsidR="00AB3B4D">
        <w:rPr>
          <w:rFonts w:ascii="Times New Roman" w:eastAsia="Calibri" w:hAnsi="Times New Roman" w:cs="Times New Roman"/>
          <w:sz w:val="24"/>
          <w:szCs w:val="24"/>
        </w:rPr>
        <w:t xml:space="preserve"> These projects are related to Southern Natural Gas</w:t>
      </w:r>
      <w:r w:rsidR="00F77F7C">
        <w:rPr>
          <w:rFonts w:ascii="Times New Roman" w:eastAsia="Calibri" w:hAnsi="Times New Roman" w:cs="Times New Roman"/>
          <w:sz w:val="24"/>
          <w:szCs w:val="24"/>
        </w:rPr>
        <w:t xml:space="preserve"> Company, L.L.C</w:t>
      </w:r>
      <w:r w:rsidR="009D78B9">
        <w:rPr>
          <w:rFonts w:ascii="Times New Roman" w:eastAsia="Calibri" w:hAnsi="Times New Roman" w:cs="Times New Roman"/>
          <w:sz w:val="24"/>
          <w:szCs w:val="24"/>
        </w:rPr>
        <w:t>.</w:t>
      </w:r>
      <w:r w:rsidR="00F77F7C">
        <w:rPr>
          <w:rFonts w:ascii="Times New Roman" w:eastAsia="Calibri" w:hAnsi="Times New Roman" w:cs="Times New Roman"/>
          <w:sz w:val="24"/>
          <w:szCs w:val="24"/>
        </w:rPr>
        <w:t xml:space="preserve"> (“SNG”)</w:t>
      </w:r>
      <w:r w:rsidR="00AB3B4D">
        <w:rPr>
          <w:rFonts w:ascii="Times New Roman" w:eastAsia="Calibri" w:hAnsi="Times New Roman" w:cs="Times New Roman"/>
          <w:sz w:val="24"/>
          <w:szCs w:val="24"/>
        </w:rPr>
        <w:t xml:space="preserve"> and </w:t>
      </w:r>
      <w:r w:rsidR="00767243">
        <w:rPr>
          <w:rFonts w:ascii="Times New Roman" w:eastAsia="Calibri" w:hAnsi="Times New Roman" w:cs="Times New Roman"/>
          <w:sz w:val="24"/>
          <w:szCs w:val="24"/>
        </w:rPr>
        <w:t>Transco</w:t>
      </w:r>
      <w:r w:rsidR="00E13933">
        <w:rPr>
          <w:rFonts w:ascii="Times New Roman" w:eastAsia="Calibri" w:hAnsi="Times New Roman" w:cs="Times New Roman"/>
          <w:sz w:val="24"/>
          <w:szCs w:val="24"/>
        </w:rPr>
        <w:t xml:space="preserve"> </w:t>
      </w:r>
      <w:r w:rsidR="00AB3B4D">
        <w:rPr>
          <w:rFonts w:ascii="Times New Roman" w:eastAsia="Calibri" w:hAnsi="Times New Roman" w:cs="Times New Roman"/>
          <w:sz w:val="24"/>
          <w:szCs w:val="24"/>
        </w:rPr>
        <w:t>upgrading their systems to bring additional natural gas capacity to Georgia.</w:t>
      </w:r>
    </w:p>
    <w:p w:rsidR="00956894" w:rsidRPr="009D78B9" w:rsidP="00997A60" w14:paraId="297A0B56" w14:textId="35A0679B">
      <w:pPr>
        <w:pStyle w:val="ListParagraph"/>
        <w:numPr>
          <w:ilvl w:val="0"/>
          <w:numId w:val="6"/>
        </w:numPr>
        <w:jc w:val="both"/>
        <w:rPr>
          <w:rFonts w:ascii="Times New Roman" w:eastAsia="Calibri" w:hAnsi="Times New Roman" w:cs="Times New Roman"/>
          <w:b/>
          <w:bCs/>
          <w:color w:val="000000" w:themeColor="text1"/>
          <w:sz w:val="24"/>
          <w:szCs w:val="24"/>
        </w:rPr>
      </w:pPr>
      <w:r w:rsidRPr="009D78B9">
        <w:rPr>
          <w:rFonts w:ascii="Times New Roman" w:eastAsia="Calibri" w:hAnsi="Times New Roman" w:cs="Times New Roman"/>
          <w:b/>
          <w:bCs/>
          <w:color w:val="000000" w:themeColor="text1"/>
          <w:sz w:val="24"/>
          <w:szCs w:val="24"/>
        </w:rPr>
        <w:t>Southern Natural Gas South System Expansion 4 Project (“SSE”)</w:t>
      </w:r>
    </w:p>
    <w:p w:rsidR="00D86A99" w:rsidRPr="00015F51" w:rsidP="00015F51" w14:paraId="575693DE" w14:textId="7593D481">
      <w:pPr>
        <w:pStyle w:val="NormalWeb"/>
        <w:tabs>
          <w:tab w:val="left" w:pos="720"/>
          <w:tab w:val="left" w:pos="1710"/>
        </w:tabs>
        <w:spacing w:line="480" w:lineRule="auto"/>
        <w:ind w:firstLine="720"/>
        <w:contextualSpacing/>
        <w:jc w:val="both"/>
        <w:rPr>
          <w:color w:val="000000" w:themeColor="text1"/>
          <w:shd w:val="clear" w:color="auto" w:fill="FFFFFF"/>
        </w:rPr>
      </w:pPr>
      <w:r w:rsidRPr="009D78B9">
        <w:rPr>
          <w:color w:val="000000" w:themeColor="text1"/>
        </w:rPr>
        <w:t>The SSE</w:t>
      </w:r>
      <w:r w:rsidRPr="009D78B9" w:rsidR="0078315C">
        <w:rPr>
          <w:color w:val="000000" w:themeColor="text1"/>
        </w:rPr>
        <w:t xml:space="preserve"> will consist of (14) fourteen new natural gas pipeline loops (noncontiguous) that run parallel to SNG’s existing pipeline, South Main Line, totaling approximately 279 miles primarily along existing pipeline in Mississippi, Alabama, and Georgia. The Project also includes expansions to (13) thirteen existing compressor stations and (5) five new meter or regulator stations and modifications to (11) eleven existing meter stations. The planned project would create up to approximately 1.3 million dekatherms per day of capacity </w:t>
      </w:r>
      <w:r w:rsidRPr="009D78B9" w:rsidR="00F77F7C">
        <w:rPr>
          <w:color w:val="000000" w:themeColor="text1"/>
        </w:rPr>
        <w:t>on SNG</w:t>
      </w:r>
      <w:r w:rsidRPr="009D78B9" w:rsidR="0078315C">
        <w:rPr>
          <w:color w:val="000000" w:themeColor="text1"/>
        </w:rPr>
        <w:t>’s pipeline system.</w:t>
      </w:r>
      <w:r>
        <w:rPr>
          <w:rStyle w:val="FootnoteReference"/>
          <w:color w:val="000000" w:themeColor="text1"/>
          <w:shd w:val="clear" w:color="auto" w:fill="FFFFFF"/>
        </w:rPr>
        <w:footnoteReference w:id="6"/>
      </w:r>
      <w:r w:rsidRPr="009D78B9">
        <w:rPr>
          <w:color w:val="000000" w:themeColor="text1"/>
          <w:shd w:val="clear" w:color="auto" w:fill="FFFFFF"/>
        </w:rPr>
        <w:t xml:space="preserve">The project is designed to increase SNG's South Main Line capacity by approximately 1.3 Bcf/d and will help meet growing power generation and local distribution company demand in the Southeast. SSE4 will be completed in two phases and is almost entirely comprised of brownfield looping and horsepower compression additions on the SNG and EEC </w:t>
      </w:r>
      <w:r w:rsidRPr="00015F51">
        <w:rPr>
          <w:color w:val="000000" w:themeColor="text1"/>
          <w:shd w:val="clear" w:color="auto" w:fill="FFFFFF"/>
        </w:rPr>
        <w:t>pipeline systems</w:t>
      </w:r>
      <w:r w:rsidRPr="00015F51" w:rsidR="00DC25EF">
        <w:rPr>
          <w:color w:val="000000" w:themeColor="text1"/>
          <w:shd w:val="clear" w:color="auto" w:fill="FFFFFF"/>
        </w:rPr>
        <w:t>.</w:t>
      </w:r>
      <w:r w:rsidRPr="00015F51" w:rsidR="00015F51">
        <w:rPr>
          <w:color w:val="000000" w:themeColor="text1"/>
          <w:shd w:val="clear" w:color="auto" w:fill="FFFFFF"/>
        </w:rPr>
        <w:t xml:space="preserve"> </w:t>
      </w:r>
      <w:r w:rsidRPr="00015F51">
        <w:rPr>
          <w:color w:val="000000" w:themeColor="text1"/>
          <w:shd w:val="clear" w:color="auto" w:fill="FFFFFF"/>
        </w:rPr>
        <w:t>Assuming the timely receipt of all required permits and approvals, K</w:t>
      </w:r>
      <w:r w:rsidR="00483C9F">
        <w:rPr>
          <w:color w:val="000000" w:themeColor="text1"/>
          <w:shd w:val="clear" w:color="auto" w:fill="FFFFFF"/>
        </w:rPr>
        <w:t>inder Morgan, Inc.</w:t>
      </w:r>
      <w:r w:rsidRPr="00015F51">
        <w:rPr>
          <w:color w:val="000000" w:themeColor="text1"/>
          <w:shd w:val="clear" w:color="auto" w:fill="FFFFFF"/>
        </w:rPr>
        <w:t xml:space="preserve"> expects to place the first phase of the project in service in the fourth quarter of 2028 and the second phase in the fourth quarter of 2029.</w:t>
      </w:r>
      <w:r>
        <w:rPr>
          <w:rStyle w:val="FootnoteReference"/>
          <w:color w:val="000000" w:themeColor="text1"/>
          <w:shd w:val="clear" w:color="auto" w:fill="FFFFFF"/>
        </w:rPr>
        <w:footnoteReference w:id="7"/>
      </w:r>
    </w:p>
    <w:p w:rsidR="0048388B" w:rsidP="00BD467F" w14:paraId="6A569C61" w14:textId="39B3CF63">
      <w:pPr>
        <w:pStyle w:val="NormalWeb"/>
        <w:tabs>
          <w:tab w:val="left" w:pos="720"/>
          <w:tab w:val="left" w:pos="1710"/>
        </w:tabs>
        <w:spacing w:line="480" w:lineRule="auto"/>
        <w:ind w:firstLine="720"/>
        <w:contextualSpacing/>
        <w:jc w:val="both"/>
        <w:rPr>
          <w:rFonts w:eastAsia="Calibri"/>
        </w:rPr>
      </w:pPr>
      <w:r w:rsidRPr="00015F51">
        <w:rPr>
          <w:color w:val="000000" w:themeColor="text1"/>
          <w:shd w:val="clear" w:color="auto" w:fill="FFFFFF"/>
        </w:rPr>
        <w:t>For AGL’s distribution system to take advantage of the benefits provided by the SSE, the Company is requesting to upgrade three (3) tap stations that consist of</w:t>
      </w:r>
      <w:r w:rsidR="00141600">
        <w:rPr>
          <w:color w:val="000000" w:themeColor="text1"/>
          <w:shd w:val="clear" w:color="auto" w:fill="FFFFFF"/>
        </w:rPr>
        <w:t>:</w:t>
      </w:r>
      <w:r w:rsidRPr="00015F51">
        <w:rPr>
          <w:color w:val="000000" w:themeColor="text1"/>
          <w:shd w:val="clear" w:color="auto" w:fill="FFFFFF"/>
        </w:rPr>
        <w:t xml:space="preserve"> </w:t>
      </w:r>
      <w:r w:rsidRPr="00BD467F">
        <w:rPr>
          <w:rFonts w:eastAsia="Calibri"/>
          <w:color w:val="000000" w:themeColor="text1"/>
        </w:rPr>
        <w:t>(1) Riverdale #1</w:t>
      </w:r>
      <w:r w:rsidRPr="00141600">
        <w:rPr>
          <w:rFonts w:eastAsia="Calibri"/>
          <w:color w:val="000000" w:themeColor="text1"/>
        </w:rPr>
        <w:t xml:space="preserve">; </w:t>
      </w:r>
      <w:r w:rsidRPr="00BD467F">
        <w:rPr>
          <w:rFonts w:eastAsia="Calibri"/>
          <w:color w:val="000000" w:themeColor="text1"/>
        </w:rPr>
        <w:t>(2) Augusta #2</w:t>
      </w:r>
      <w:r w:rsidRPr="00141600">
        <w:rPr>
          <w:rFonts w:eastAsia="Calibri"/>
          <w:color w:val="000000" w:themeColor="text1"/>
        </w:rPr>
        <w:t xml:space="preserve">; </w:t>
      </w:r>
      <w:r w:rsidRPr="00BD467F">
        <w:rPr>
          <w:rFonts w:eastAsia="Calibri"/>
          <w:color w:val="000000" w:themeColor="text1"/>
        </w:rPr>
        <w:t>(3) Augusta #3</w:t>
      </w:r>
      <w:r w:rsidRPr="009D78B9">
        <w:rPr>
          <w:rFonts w:eastAsia="Calibri"/>
          <w:color w:val="000000" w:themeColor="text1"/>
        </w:rPr>
        <w:t xml:space="preserve">. Likewise, these three (3) tap stations were approved for </w:t>
      </w:r>
      <w:r>
        <w:rPr>
          <w:rFonts w:eastAsia="Calibri"/>
        </w:rPr>
        <w:t>MAOP reconfirmation as part of the 2025 – 2034 i-CDP to be recovered in the Compan</w:t>
      </w:r>
      <w:r w:rsidR="00F77F7C">
        <w:rPr>
          <w:rFonts w:eastAsia="Calibri"/>
        </w:rPr>
        <w:t>y’</w:t>
      </w:r>
      <w:r>
        <w:rPr>
          <w:rFonts w:eastAsia="Calibri"/>
        </w:rPr>
        <w:t xml:space="preserve">s </w:t>
      </w:r>
      <w:r w:rsidR="00F77F7C">
        <w:rPr>
          <w:rFonts w:eastAsia="Calibri"/>
        </w:rPr>
        <w:t>GRAM</w:t>
      </w:r>
      <w:r>
        <w:rPr>
          <w:rFonts w:eastAsia="Calibri"/>
        </w:rPr>
        <w:t xml:space="preserve">. With the upgrade of these tap stations, the MAOP reconfirmation will be accomplished, and there will be no additional costs recovered in the GRAM. </w:t>
      </w:r>
      <w:r w:rsidR="00EC4301">
        <w:rPr>
          <w:rFonts w:eastAsia="Calibri"/>
        </w:rPr>
        <w:t xml:space="preserve">Additionally, the </w:t>
      </w:r>
      <w:r w:rsidR="000E5CCB">
        <w:rPr>
          <w:rFonts w:eastAsia="Calibri"/>
        </w:rPr>
        <w:t xml:space="preserve">Riverdale </w:t>
      </w:r>
      <w:r w:rsidR="00EC4301">
        <w:rPr>
          <w:rFonts w:eastAsia="Calibri"/>
        </w:rPr>
        <w:t xml:space="preserve">LNG </w:t>
      </w:r>
      <w:r w:rsidR="00B225B5">
        <w:rPr>
          <w:rFonts w:eastAsia="Calibri"/>
        </w:rPr>
        <w:t>tap meter</w:t>
      </w:r>
      <w:r w:rsidR="00EC4301">
        <w:rPr>
          <w:rFonts w:eastAsia="Calibri"/>
        </w:rPr>
        <w:t xml:space="preserve"> project will </w:t>
      </w:r>
      <w:r w:rsidR="001A41A3">
        <w:rPr>
          <w:rFonts w:eastAsia="Calibri"/>
        </w:rPr>
        <w:t xml:space="preserve">allow </w:t>
      </w:r>
      <w:r w:rsidR="00D53E50">
        <w:rPr>
          <w:rFonts w:eastAsia="Calibri"/>
        </w:rPr>
        <w:t xml:space="preserve">Transco gas to </w:t>
      </w:r>
      <w:r w:rsidR="00B94BE9">
        <w:rPr>
          <w:rFonts w:eastAsia="Calibri"/>
        </w:rPr>
        <w:t>supply</w:t>
      </w:r>
      <w:r w:rsidR="0062153C">
        <w:rPr>
          <w:rFonts w:eastAsia="Calibri"/>
        </w:rPr>
        <w:t xml:space="preserve"> </w:t>
      </w:r>
      <w:r w:rsidR="00B94BE9">
        <w:rPr>
          <w:rFonts w:eastAsia="Calibri"/>
        </w:rPr>
        <w:t>AGL’s Riverdale LNG plant</w:t>
      </w:r>
      <w:r w:rsidR="00015F51">
        <w:rPr>
          <w:rFonts w:eastAsia="Calibri"/>
        </w:rPr>
        <w:t>, allowing additional flow of SNG gas directly into the AGL system during liquefaction operations</w:t>
      </w:r>
      <w:r w:rsidR="0062153C">
        <w:rPr>
          <w:rFonts w:eastAsia="Calibri"/>
        </w:rPr>
        <w:t>.</w:t>
      </w:r>
    </w:p>
    <w:p w:rsidR="00AB3B4D" w:rsidRPr="00997A60" w:rsidP="00997A60" w14:paraId="1AE12E75" w14:textId="54C1BF5B">
      <w:pPr>
        <w:pStyle w:val="NormalWeb"/>
        <w:numPr>
          <w:ilvl w:val="0"/>
          <w:numId w:val="6"/>
        </w:numPr>
        <w:tabs>
          <w:tab w:val="left" w:pos="720"/>
          <w:tab w:val="left" w:pos="1710"/>
        </w:tabs>
        <w:spacing w:line="360" w:lineRule="auto"/>
        <w:contextualSpacing/>
        <w:rPr>
          <w:b/>
          <w:bCs/>
          <w:color w:val="323A45"/>
        </w:rPr>
      </w:pPr>
      <w:r w:rsidRPr="00997A60">
        <w:rPr>
          <w:rFonts w:eastAsia="Calibri"/>
          <w:b/>
          <w:bCs/>
        </w:rPr>
        <w:t>Transco South East Supply Enhancement Project (“SEP”)</w:t>
      </w:r>
    </w:p>
    <w:p w:rsidR="00D86A99" w:rsidP="005156A1" w14:paraId="36F2C0B4" w14:textId="1042FE5B">
      <w:pPr>
        <w:spacing w:line="480" w:lineRule="auto"/>
        <w:ind w:firstLine="720"/>
        <w:jc w:val="both"/>
        <w:rPr>
          <w:rFonts w:ascii="Times New Roman" w:eastAsia="Calibri" w:hAnsi="Times New Roman" w:cs="Times New Roman"/>
          <w:sz w:val="24"/>
          <w:szCs w:val="24"/>
        </w:rPr>
      </w:pPr>
      <w:r w:rsidRPr="00997A60">
        <w:rPr>
          <w:rFonts w:ascii="Times New Roman" w:hAnsi="Times New Roman" w:cs="Times New Roman"/>
          <w:sz w:val="24"/>
          <w:szCs w:val="24"/>
        </w:rPr>
        <w:t xml:space="preserve">The proposed project is an expansion of the existing Transco capacity in the southeastern United States. The project will include pipeline looping adjacent to the existing Transco corridor and modifications to </w:t>
      </w:r>
      <w:r w:rsidR="00D53E50">
        <w:rPr>
          <w:rFonts w:ascii="Times New Roman" w:hAnsi="Times New Roman" w:cs="Times New Roman"/>
          <w:sz w:val="24"/>
          <w:szCs w:val="24"/>
        </w:rPr>
        <w:t>eight (</w:t>
      </w:r>
      <w:r w:rsidRPr="00997A60">
        <w:rPr>
          <w:rFonts w:ascii="Times New Roman" w:hAnsi="Times New Roman" w:cs="Times New Roman"/>
          <w:sz w:val="24"/>
          <w:szCs w:val="24"/>
        </w:rPr>
        <w:t>8</w:t>
      </w:r>
      <w:r w:rsidR="00D53E50">
        <w:rPr>
          <w:rFonts w:ascii="Times New Roman" w:hAnsi="Times New Roman" w:cs="Times New Roman"/>
          <w:sz w:val="24"/>
          <w:szCs w:val="24"/>
        </w:rPr>
        <w:t>)</w:t>
      </w:r>
      <w:r w:rsidRPr="00997A60">
        <w:rPr>
          <w:rFonts w:ascii="Times New Roman" w:hAnsi="Times New Roman" w:cs="Times New Roman"/>
          <w:sz w:val="24"/>
          <w:szCs w:val="24"/>
        </w:rPr>
        <w:t xml:space="preserve"> facilities. This expansion will provide reliable natural gas deliveries to Virginia, the Carolinas, Georgia</w:t>
      </w:r>
      <w:r w:rsidR="00D53E50">
        <w:rPr>
          <w:rFonts w:ascii="Times New Roman" w:hAnsi="Times New Roman" w:cs="Times New Roman"/>
          <w:sz w:val="24"/>
          <w:szCs w:val="24"/>
        </w:rPr>
        <w:t>,</w:t>
      </w:r>
      <w:r w:rsidRPr="00997A60">
        <w:rPr>
          <w:rFonts w:ascii="Times New Roman" w:hAnsi="Times New Roman" w:cs="Times New Roman"/>
          <w:sz w:val="24"/>
          <w:szCs w:val="24"/>
        </w:rPr>
        <w:t xml:space="preserve"> and Alabama to meet the growing </w:t>
      </w:r>
      <w:r w:rsidRPr="009D78B9">
        <w:rPr>
          <w:rFonts w:ascii="Times New Roman" w:hAnsi="Times New Roman" w:cs="Times New Roman"/>
          <w:color w:val="000000" w:themeColor="text1"/>
          <w:sz w:val="24"/>
          <w:szCs w:val="24"/>
        </w:rPr>
        <w:t>residential, commercial</w:t>
      </w:r>
      <w:r w:rsidRPr="009D78B9" w:rsidR="00D53E50">
        <w:rPr>
          <w:rFonts w:ascii="Times New Roman" w:hAnsi="Times New Roman" w:cs="Times New Roman"/>
          <w:color w:val="000000" w:themeColor="text1"/>
          <w:sz w:val="24"/>
          <w:szCs w:val="24"/>
        </w:rPr>
        <w:t>,</w:t>
      </w:r>
      <w:r w:rsidRPr="009D78B9">
        <w:rPr>
          <w:rFonts w:ascii="Times New Roman" w:hAnsi="Times New Roman" w:cs="Times New Roman"/>
          <w:color w:val="000000" w:themeColor="text1"/>
          <w:sz w:val="24"/>
          <w:szCs w:val="24"/>
        </w:rPr>
        <w:t xml:space="preserve"> and industrial demand in cities across the Mid-Atlantic and Southeast.</w:t>
      </w:r>
      <w:r>
        <w:rPr>
          <w:rStyle w:val="FootnoteReference"/>
          <w:rFonts w:ascii="Times New Roman" w:eastAsia="Calibri" w:hAnsi="Times New Roman" w:cs="Times New Roman"/>
          <w:color w:val="000000" w:themeColor="text1"/>
          <w:sz w:val="24"/>
          <w:szCs w:val="24"/>
        </w:rPr>
        <w:footnoteReference w:id="8"/>
      </w:r>
      <w:r w:rsidR="009D78B9">
        <w:rPr>
          <w:rFonts w:ascii="Times New Roman" w:hAnsi="Times New Roman" w:cs="Times New Roman"/>
          <w:color w:val="000000" w:themeColor="text1"/>
          <w:sz w:val="24"/>
          <w:szCs w:val="24"/>
        </w:rPr>
        <w:t xml:space="preserve"> </w:t>
      </w:r>
      <w:r w:rsidRPr="009D78B9">
        <w:rPr>
          <w:rFonts w:ascii="Times New Roman" w:hAnsi="Times New Roman" w:cs="Times New Roman"/>
          <w:color w:val="000000" w:themeColor="text1"/>
          <w:sz w:val="24"/>
          <w:szCs w:val="24"/>
          <w:shd w:val="clear" w:color="auto" w:fill="FFFFFF"/>
        </w:rPr>
        <w:t xml:space="preserve">For AGL’s </w:t>
      </w:r>
      <w:r w:rsidRPr="00BD467F">
        <w:rPr>
          <w:rFonts w:ascii="Times New Roman" w:hAnsi="Times New Roman" w:cs="Times New Roman"/>
          <w:color w:val="000000" w:themeColor="text1"/>
          <w:sz w:val="24"/>
          <w:szCs w:val="24"/>
          <w:shd w:val="clear" w:color="auto" w:fill="FFFFFF"/>
        </w:rPr>
        <w:t xml:space="preserve">distribution </w:t>
      </w:r>
      <w:r w:rsidRPr="009D78B9">
        <w:rPr>
          <w:rFonts w:ascii="Times New Roman" w:hAnsi="Times New Roman" w:cs="Times New Roman"/>
          <w:color w:val="000000" w:themeColor="text1"/>
          <w:sz w:val="24"/>
          <w:szCs w:val="24"/>
          <w:shd w:val="clear" w:color="auto" w:fill="FFFFFF"/>
        </w:rPr>
        <w:t xml:space="preserve">system to </w:t>
      </w:r>
      <w:r w:rsidRPr="009D78B9" w:rsidR="005156A1">
        <w:rPr>
          <w:rFonts w:ascii="Times New Roman" w:hAnsi="Times New Roman" w:cs="Times New Roman"/>
          <w:color w:val="000000" w:themeColor="text1"/>
          <w:sz w:val="24"/>
          <w:szCs w:val="24"/>
          <w:shd w:val="clear" w:color="auto" w:fill="FFFFFF"/>
        </w:rPr>
        <w:t>maximize</w:t>
      </w:r>
      <w:r w:rsidRPr="009D78B9">
        <w:rPr>
          <w:rFonts w:ascii="Times New Roman" w:hAnsi="Times New Roman" w:cs="Times New Roman"/>
          <w:color w:val="000000" w:themeColor="text1"/>
          <w:sz w:val="24"/>
          <w:szCs w:val="24"/>
          <w:shd w:val="clear" w:color="auto" w:fill="FFFFFF"/>
        </w:rPr>
        <w:t xml:space="preserve"> the benefits provided by the S</w:t>
      </w:r>
      <w:r w:rsidRPr="009D78B9" w:rsidR="009909D7">
        <w:rPr>
          <w:rFonts w:ascii="Times New Roman" w:hAnsi="Times New Roman" w:cs="Times New Roman"/>
          <w:color w:val="000000" w:themeColor="text1"/>
          <w:sz w:val="24"/>
          <w:szCs w:val="24"/>
          <w:shd w:val="clear" w:color="auto" w:fill="FFFFFF"/>
        </w:rPr>
        <w:t>E</w:t>
      </w:r>
      <w:r w:rsidRPr="009D78B9">
        <w:rPr>
          <w:rFonts w:ascii="Times New Roman" w:hAnsi="Times New Roman" w:cs="Times New Roman"/>
          <w:color w:val="000000" w:themeColor="text1"/>
          <w:sz w:val="24"/>
          <w:szCs w:val="24"/>
          <w:shd w:val="clear" w:color="auto" w:fill="FFFFFF"/>
        </w:rPr>
        <w:t>P</w:t>
      </w:r>
      <w:r w:rsidRPr="009D78B9">
        <w:rPr>
          <w:rFonts w:ascii="Times New Roman" w:eastAsia="Calibri" w:hAnsi="Times New Roman" w:cs="Times New Roman"/>
          <w:color w:val="000000" w:themeColor="text1"/>
          <w:sz w:val="24"/>
          <w:szCs w:val="24"/>
        </w:rPr>
        <w:t xml:space="preserve">, the Company will need to upgrade </w:t>
      </w:r>
      <w:r w:rsidR="00200215">
        <w:rPr>
          <w:rFonts w:ascii="Times New Roman" w:eastAsia="Calibri" w:hAnsi="Times New Roman" w:cs="Times New Roman"/>
          <w:sz w:val="24"/>
          <w:szCs w:val="24"/>
        </w:rPr>
        <w:t xml:space="preserve">the </w:t>
      </w:r>
      <w:r w:rsidRPr="00F302F7" w:rsidR="00CC5546">
        <w:rPr>
          <w:rFonts w:ascii="Times New Roman" w:eastAsia="Calibri" w:hAnsi="Times New Roman" w:cs="Times New Roman"/>
          <w:sz w:val="24"/>
          <w:szCs w:val="24"/>
        </w:rPr>
        <w:t xml:space="preserve">Riverdale </w:t>
      </w:r>
      <w:r w:rsidR="00200215">
        <w:rPr>
          <w:rFonts w:ascii="Times New Roman" w:eastAsia="Calibri" w:hAnsi="Times New Roman" w:cs="Times New Roman"/>
          <w:sz w:val="24"/>
          <w:szCs w:val="24"/>
        </w:rPr>
        <w:t xml:space="preserve">LNG </w:t>
      </w:r>
      <w:r w:rsidR="00B225B5">
        <w:rPr>
          <w:rFonts w:ascii="Times New Roman" w:eastAsia="Calibri" w:hAnsi="Times New Roman" w:cs="Times New Roman"/>
          <w:sz w:val="24"/>
          <w:szCs w:val="24"/>
        </w:rPr>
        <w:t>tap meter</w:t>
      </w:r>
      <w:r w:rsidR="00200215">
        <w:rPr>
          <w:rFonts w:ascii="Times New Roman" w:eastAsia="Calibri" w:hAnsi="Times New Roman" w:cs="Times New Roman"/>
          <w:sz w:val="24"/>
          <w:szCs w:val="24"/>
        </w:rPr>
        <w:t xml:space="preserve">. </w:t>
      </w:r>
      <w:r w:rsidR="00521A42">
        <w:rPr>
          <w:rFonts w:ascii="Times New Roman" w:eastAsia="Calibri" w:hAnsi="Times New Roman" w:cs="Times New Roman"/>
          <w:sz w:val="24"/>
          <w:szCs w:val="24"/>
        </w:rPr>
        <w:t xml:space="preserve">Currently, the Riverdale LNG </w:t>
      </w:r>
      <w:r w:rsidR="0062153C">
        <w:rPr>
          <w:rFonts w:ascii="Times New Roman" w:eastAsia="Calibri" w:hAnsi="Times New Roman" w:cs="Times New Roman"/>
          <w:sz w:val="24"/>
          <w:szCs w:val="24"/>
        </w:rPr>
        <w:t>facility</w:t>
      </w:r>
      <w:r w:rsidR="00521A42">
        <w:rPr>
          <w:rFonts w:ascii="Times New Roman" w:eastAsia="Calibri" w:hAnsi="Times New Roman" w:cs="Times New Roman"/>
          <w:sz w:val="24"/>
          <w:szCs w:val="24"/>
        </w:rPr>
        <w:t xml:space="preserve"> </w:t>
      </w:r>
      <w:r w:rsidR="0062153C">
        <w:rPr>
          <w:rFonts w:ascii="Times New Roman" w:eastAsia="Calibri" w:hAnsi="Times New Roman" w:cs="Times New Roman"/>
          <w:sz w:val="24"/>
          <w:szCs w:val="24"/>
        </w:rPr>
        <w:t xml:space="preserve">has </w:t>
      </w:r>
      <w:r w:rsidR="00521A42">
        <w:rPr>
          <w:rFonts w:ascii="Times New Roman" w:eastAsia="Calibri" w:hAnsi="Times New Roman" w:cs="Times New Roman"/>
          <w:sz w:val="24"/>
          <w:szCs w:val="24"/>
        </w:rPr>
        <w:t>a single meter for SNG only. The upgrade will allow gas from both SNG and Transco.</w:t>
      </w:r>
    </w:p>
    <w:p w:rsidR="00D86A99" w:rsidRPr="00997A60" w:rsidP="00453AD3" w14:paraId="038CC2D5" w14:textId="57603582">
      <w:pPr>
        <w:pStyle w:val="ListParagraph"/>
        <w:keepNext/>
        <w:numPr>
          <w:ilvl w:val="0"/>
          <w:numId w:val="6"/>
        </w:numPr>
        <w:spacing w:line="480" w:lineRule="auto"/>
        <w:jc w:val="both"/>
        <w:rPr>
          <w:rFonts w:ascii="Times New Roman" w:eastAsia="Calibri" w:hAnsi="Times New Roman" w:cs="Times New Roman"/>
          <w:b/>
          <w:bCs/>
          <w:sz w:val="24"/>
          <w:szCs w:val="24"/>
        </w:rPr>
      </w:pPr>
      <w:r w:rsidRPr="00997A60">
        <w:rPr>
          <w:rFonts w:ascii="Times New Roman" w:eastAsia="Calibri" w:hAnsi="Times New Roman" w:cs="Times New Roman"/>
          <w:b/>
          <w:bCs/>
          <w:sz w:val="24"/>
          <w:szCs w:val="24"/>
        </w:rPr>
        <w:t>Brunswick/Bordertown Tap Station</w:t>
      </w:r>
    </w:p>
    <w:p w:rsidR="00200215" w:rsidRPr="00997A60" w:rsidP="00200215" w14:paraId="13DC351F" w14:textId="70395C3A">
      <w:pPr>
        <w:spacing w:line="480" w:lineRule="auto"/>
        <w:ind w:firstLine="720"/>
        <w:jc w:val="both"/>
        <w:rPr>
          <w:rFonts w:ascii="Times New Roman" w:eastAsia="Times New Roman" w:hAnsi="Times New Roman" w:cs="Times New Roman"/>
          <w:color w:val="000000"/>
          <w:sz w:val="24"/>
          <w:szCs w:val="24"/>
          <w:highlight w:val="yellow"/>
        </w:rPr>
      </w:pPr>
      <w:r w:rsidRPr="00997A60">
        <w:rPr>
          <w:rFonts w:ascii="Times New Roman" w:eastAsia="Times New Roman" w:hAnsi="Times New Roman" w:cs="Times New Roman"/>
          <w:color w:val="000000"/>
          <w:sz w:val="24"/>
          <w:szCs w:val="24"/>
        </w:rPr>
        <w:t xml:space="preserve">Similarly, changes since the approval of the 2025-2034 i-CDP require that the original plans for the fourth station (the Brunswick – Border Town Station) be revised.  </w:t>
      </w:r>
      <w:r w:rsidRPr="00997A60">
        <w:rPr>
          <w:rFonts w:ascii="Times New Roman" w:hAnsi="Times New Roman" w:cs="Times New Roman"/>
          <w:sz w:val="24"/>
          <w:szCs w:val="24"/>
        </w:rPr>
        <w:t xml:space="preserve">The tap station </w:t>
      </w:r>
      <w:r w:rsidR="002421A8">
        <w:rPr>
          <w:rFonts w:ascii="Times New Roman" w:hAnsi="Times New Roman" w:cs="Times New Roman"/>
          <w:sz w:val="24"/>
          <w:szCs w:val="24"/>
        </w:rPr>
        <w:t>has</w:t>
      </w:r>
      <w:r w:rsidRPr="00997A60">
        <w:rPr>
          <w:rFonts w:ascii="Times New Roman" w:hAnsi="Times New Roman" w:cs="Times New Roman"/>
          <w:sz w:val="24"/>
          <w:szCs w:val="24"/>
        </w:rPr>
        <w:t xml:space="preserve"> obsolete equipment, needs more capacity, and MAOP Reconfirmation.</w:t>
      </w:r>
      <w:r w:rsidRPr="009D78B9">
        <w:rPr>
          <w:rFonts w:ascii="Times New Roman" w:eastAsia="Times New Roman" w:hAnsi="Times New Roman" w:cs="Times New Roman"/>
          <w:color w:val="000000"/>
          <w:sz w:val="24"/>
          <w:szCs w:val="24"/>
        </w:rPr>
        <w:t xml:space="preserve"> </w:t>
      </w:r>
      <w:r w:rsidRPr="00F302F7">
        <w:rPr>
          <w:rFonts w:ascii="Times New Roman" w:hAnsi="Times New Roman" w:cs="Times New Roman"/>
          <w:color w:val="000000" w:themeColor="text1"/>
          <w:sz w:val="24"/>
          <w:szCs w:val="24"/>
        </w:rPr>
        <w:t>The station design capacity needs to be increased from 2,155 MCFH to 3,000 MCFH to meet expected customer needs, which in turn requires increasing</w:t>
      </w:r>
      <w:r w:rsidRPr="00F302F7">
        <w:rPr>
          <w:rFonts w:ascii="Times New Roman" w:eastAsia="Times New Roman" w:hAnsi="Times New Roman" w:cs="Times New Roman"/>
          <w:color w:val="000000" w:themeColor="text1"/>
          <w:sz w:val="24"/>
          <w:szCs w:val="24"/>
        </w:rPr>
        <w:t xml:space="preserve"> </w:t>
      </w:r>
      <w:r w:rsidRPr="00F302F7">
        <w:rPr>
          <w:rFonts w:ascii="Times New Roman" w:hAnsi="Times New Roman" w:cs="Times New Roman"/>
          <w:color w:val="000000" w:themeColor="text1"/>
          <w:sz w:val="24"/>
          <w:szCs w:val="24"/>
        </w:rPr>
        <w:t>certain existing pipe</w:t>
      </w:r>
      <w:r w:rsidR="00C4705A">
        <w:rPr>
          <w:rFonts w:ascii="Times New Roman" w:hAnsi="Times New Roman" w:cs="Times New Roman"/>
          <w:color w:val="000000" w:themeColor="text1"/>
          <w:sz w:val="24"/>
          <w:szCs w:val="24"/>
        </w:rPr>
        <w:t>s</w:t>
      </w:r>
      <w:r w:rsidRPr="00F302F7">
        <w:rPr>
          <w:rFonts w:ascii="Times New Roman" w:hAnsi="Times New Roman" w:cs="Times New Roman"/>
          <w:color w:val="000000" w:themeColor="text1"/>
          <w:sz w:val="24"/>
          <w:szCs w:val="24"/>
        </w:rPr>
        <w:t xml:space="preserve"> and equipment to accommodate the increased capacity needs.</w:t>
      </w:r>
    </w:p>
    <w:p w:rsidR="00AB3B4D" w:rsidRPr="00997A60" w:rsidP="00997A60" w14:paraId="11684747" w14:textId="642C3E38">
      <w:pPr>
        <w:pStyle w:val="ListParagraph"/>
        <w:numPr>
          <w:ilvl w:val="0"/>
          <w:numId w:val="6"/>
        </w:numPr>
        <w:spacing w:line="480" w:lineRule="auto"/>
        <w:jc w:val="both"/>
        <w:rPr>
          <w:rFonts w:ascii="Times New Roman" w:eastAsia="Calibri" w:hAnsi="Times New Roman" w:cs="Times New Roman"/>
          <w:b/>
          <w:bCs/>
          <w:sz w:val="24"/>
          <w:szCs w:val="24"/>
        </w:rPr>
      </w:pPr>
      <w:r w:rsidRPr="00997A60">
        <w:rPr>
          <w:rFonts w:ascii="Times New Roman" w:eastAsia="Calibri" w:hAnsi="Times New Roman" w:cs="Times New Roman"/>
          <w:b/>
          <w:bCs/>
          <w:sz w:val="24"/>
          <w:szCs w:val="24"/>
        </w:rPr>
        <w:t xml:space="preserve">Necessity of the Amendment </w:t>
      </w:r>
    </w:p>
    <w:p w:rsidR="00721702" w:rsidP="00721702" w14:paraId="1226B8D3" w14:textId="17F50CB0">
      <w:pPr>
        <w:spacing w:line="480" w:lineRule="auto"/>
        <w:ind w:firstLine="720"/>
        <w:jc w:val="both"/>
        <w:rPr>
          <w:rFonts w:ascii="Times New Roman" w:eastAsia="Times New Roman" w:hAnsi="Times New Roman" w:cs="Times New Roman"/>
          <w:color w:val="000000"/>
          <w:sz w:val="24"/>
          <w:szCs w:val="24"/>
        </w:rPr>
      </w:pPr>
      <w:r>
        <w:rPr>
          <w:rFonts w:ascii="Times New Roman" w:eastAsia="Calibri" w:hAnsi="Times New Roman" w:cs="Times New Roman"/>
          <w:sz w:val="24"/>
          <w:szCs w:val="24"/>
        </w:rPr>
        <w:t xml:space="preserve">This amendment is necessary because </w:t>
      </w:r>
      <w:r>
        <w:rPr>
          <w:rFonts w:ascii="Times New Roman" w:eastAsia="Times New Roman" w:hAnsi="Times New Roman" w:cs="Times New Roman"/>
          <w:sz w:val="24"/>
          <w:szCs w:val="24"/>
        </w:rPr>
        <w:t>A</w:t>
      </w:r>
      <w:r w:rsidR="007C2099">
        <w:rPr>
          <w:rFonts w:ascii="Times New Roman" w:eastAsia="Times New Roman" w:hAnsi="Times New Roman" w:cs="Times New Roman"/>
          <w:sz w:val="24"/>
          <w:szCs w:val="24"/>
        </w:rPr>
        <w:t>GL</w:t>
      </w:r>
      <w:r w:rsidRPr="00390B69" w:rsidR="007C2099">
        <w:rPr>
          <w:rFonts w:ascii="Times New Roman" w:eastAsia="Times New Roman" w:hAnsi="Times New Roman" w:cs="Times New Roman"/>
          <w:color w:val="000000"/>
          <w:sz w:val="24"/>
          <w:szCs w:val="24"/>
        </w:rPr>
        <w:t xml:space="preserve"> must </w:t>
      </w:r>
      <w:r w:rsidR="00FA2B89">
        <w:rPr>
          <w:rFonts w:ascii="Times New Roman" w:eastAsia="Times New Roman" w:hAnsi="Times New Roman" w:cs="Times New Roman"/>
          <w:color w:val="000000"/>
          <w:sz w:val="24"/>
          <w:szCs w:val="24"/>
        </w:rPr>
        <w:t xml:space="preserve">expand its facilities to be able to </w:t>
      </w:r>
      <w:r w:rsidR="00B57D94">
        <w:rPr>
          <w:rFonts w:ascii="Times New Roman" w:eastAsia="Times New Roman" w:hAnsi="Times New Roman" w:cs="Times New Roman"/>
          <w:color w:val="000000"/>
          <w:sz w:val="24"/>
          <w:szCs w:val="24"/>
        </w:rPr>
        <w:t>receive and redeliver</w:t>
      </w:r>
      <w:r w:rsidRPr="00390B69" w:rsidR="00671393">
        <w:rPr>
          <w:rFonts w:ascii="Times New Roman" w:eastAsia="Times New Roman" w:hAnsi="Times New Roman" w:cs="Times New Roman"/>
          <w:color w:val="000000"/>
          <w:sz w:val="24"/>
          <w:szCs w:val="24"/>
        </w:rPr>
        <w:t xml:space="preserve"> </w:t>
      </w:r>
      <w:r w:rsidRPr="00390B69" w:rsidR="007C2099">
        <w:rPr>
          <w:rFonts w:ascii="Times New Roman" w:eastAsia="Times New Roman" w:hAnsi="Times New Roman" w:cs="Times New Roman"/>
          <w:color w:val="000000"/>
          <w:sz w:val="24"/>
          <w:szCs w:val="24"/>
        </w:rPr>
        <w:t xml:space="preserve">275,000 Dth/day of additional Transco and SNG capacity into its system by 2027/2028. </w:t>
      </w:r>
      <w:r>
        <w:rPr>
          <w:rFonts w:ascii="Times New Roman" w:eastAsia="Times New Roman" w:hAnsi="Times New Roman" w:cs="Times New Roman"/>
          <w:color w:val="000000"/>
          <w:sz w:val="24"/>
          <w:szCs w:val="24"/>
        </w:rPr>
        <w:t xml:space="preserve">The Company considered </w:t>
      </w:r>
      <w:r w:rsidR="007C2099">
        <w:rPr>
          <w:rFonts w:ascii="Times New Roman" w:eastAsia="Times New Roman" w:hAnsi="Times New Roman" w:cs="Times New Roman"/>
          <w:color w:val="000000"/>
          <w:sz w:val="24"/>
          <w:szCs w:val="24"/>
        </w:rPr>
        <w:t xml:space="preserve">this additional capacity at the time </w:t>
      </w:r>
      <w:r>
        <w:rPr>
          <w:rFonts w:ascii="Times New Roman" w:eastAsia="Times New Roman" w:hAnsi="Times New Roman" w:cs="Times New Roman"/>
          <w:color w:val="000000"/>
          <w:sz w:val="24"/>
          <w:szCs w:val="24"/>
        </w:rPr>
        <w:t>it filed the 2025-2034</w:t>
      </w:r>
      <w:r w:rsidR="007C2099">
        <w:rPr>
          <w:rFonts w:ascii="Times New Roman" w:eastAsia="Times New Roman" w:hAnsi="Times New Roman" w:cs="Times New Roman"/>
          <w:color w:val="000000"/>
          <w:sz w:val="24"/>
          <w:szCs w:val="24"/>
        </w:rPr>
        <w:t xml:space="preserve"> i-CDP, as outlined in Chapter 4, page 32 of AGL’s 2025-2034 i-CDP, </w:t>
      </w:r>
      <w:r>
        <w:rPr>
          <w:rFonts w:ascii="Times New Roman" w:eastAsia="Times New Roman" w:hAnsi="Times New Roman" w:cs="Times New Roman"/>
          <w:color w:val="000000"/>
          <w:sz w:val="24"/>
          <w:szCs w:val="24"/>
        </w:rPr>
        <w:t xml:space="preserve">but </w:t>
      </w:r>
      <w:r w:rsidR="007C2099">
        <w:rPr>
          <w:rFonts w:ascii="Times New Roman" w:eastAsia="Times New Roman" w:hAnsi="Times New Roman" w:cs="Times New Roman"/>
          <w:color w:val="000000"/>
          <w:sz w:val="24"/>
          <w:szCs w:val="24"/>
        </w:rPr>
        <w:t xml:space="preserve">neither </w:t>
      </w:r>
      <w:r w:rsidR="00B57D94">
        <w:rPr>
          <w:rFonts w:ascii="Times New Roman" w:eastAsia="Times New Roman" w:hAnsi="Times New Roman" w:cs="Times New Roman"/>
          <w:color w:val="000000"/>
          <w:sz w:val="24"/>
          <w:szCs w:val="24"/>
        </w:rPr>
        <w:t xml:space="preserve">Transco’s nor SNG’s </w:t>
      </w:r>
      <w:r w:rsidR="007C2099">
        <w:rPr>
          <w:rFonts w:ascii="Times New Roman" w:eastAsia="Times New Roman" w:hAnsi="Times New Roman" w:cs="Times New Roman"/>
          <w:color w:val="000000"/>
          <w:sz w:val="24"/>
          <w:szCs w:val="24"/>
        </w:rPr>
        <w:t>proposed interstate pipeline expansion projects were guaranteed to move forward at t</w:t>
      </w:r>
      <w:r>
        <w:rPr>
          <w:rFonts w:ascii="Times New Roman" w:eastAsia="Times New Roman" w:hAnsi="Times New Roman" w:cs="Times New Roman"/>
          <w:color w:val="000000"/>
          <w:sz w:val="24"/>
          <w:szCs w:val="24"/>
        </w:rPr>
        <w:t>he time of filing</w:t>
      </w:r>
      <w:r w:rsidR="00E72707">
        <w:rPr>
          <w:rFonts w:ascii="Times New Roman" w:eastAsia="Times New Roman" w:hAnsi="Times New Roman" w:cs="Times New Roman"/>
          <w:color w:val="000000"/>
          <w:sz w:val="24"/>
          <w:szCs w:val="24"/>
        </w:rPr>
        <w:t xml:space="preserve"> and the receipt points </w:t>
      </w:r>
      <w:r w:rsidR="00B57D94">
        <w:rPr>
          <w:rFonts w:ascii="Times New Roman" w:eastAsia="Times New Roman" w:hAnsi="Times New Roman" w:cs="Times New Roman"/>
          <w:color w:val="000000"/>
          <w:sz w:val="24"/>
          <w:szCs w:val="24"/>
        </w:rPr>
        <w:t xml:space="preserve">on AGL’s system </w:t>
      </w:r>
      <w:r w:rsidR="00E72707">
        <w:rPr>
          <w:rFonts w:ascii="Times New Roman" w:eastAsia="Times New Roman" w:hAnsi="Times New Roman" w:cs="Times New Roman"/>
          <w:color w:val="000000"/>
          <w:sz w:val="24"/>
          <w:szCs w:val="24"/>
        </w:rPr>
        <w:t>had not been identified or designed at th</w:t>
      </w:r>
      <w:r w:rsidR="00B26182">
        <w:rPr>
          <w:rFonts w:ascii="Times New Roman" w:eastAsia="Times New Roman" w:hAnsi="Times New Roman" w:cs="Times New Roman"/>
          <w:color w:val="000000"/>
          <w:sz w:val="24"/>
          <w:szCs w:val="24"/>
        </w:rPr>
        <w:t>at time</w:t>
      </w:r>
      <w:r w:rsidR="007C2099">
        <w:rPr>
          <w:rFonts w:ascii="Times New Roman" w:eastAsia="Times New Roman" w:hAnsi="Times New Roman" w:cs="Times New Roman"/>
          <w:color w:val="000000"/>
          <w:sz w:val="24"/>
          <w:szCs w:val="24"/>
        </w:rPr>
        <w:t>. Since the i-CDP filing</w:t>
      </w:r>
      <w:r w:rsidRPr="00390B69" w:rsidR="007C2099">
        <w:rPr>
          <w:rFonts w:ascii="Times New Roman" w:eastAsia="Times New Roman" w:hAnsi="Times New Roman" w:cs="Times New Roman"/>
          <w:color w:val="000000"/>
          <w:sz w:val="24"/>
          <w:szCs w:val="24"/>
        </w:rPr>
        <w:t xml:space="preserve">, the </w:t>
      </w:r>
      <w:r w:rsidR="007C2099">
        <w:rPr>
          <w:rFonts w:ascii="Times New Roman" w:eastAsia="Times New Roman" w:hAnsi="Times New Roman" w:cs="Times New Roman"/>
          <w:color w:val="000000"/>
          <w:sz w:val="24"/>
          <w:szCs w:val="24"/>
        </w:rPr>
        <w:t xml:space="preserve">SNG and Transco </w:t>
      </w:r>
      <w:r w:rsidRPr="00390B69" w:rsidR="007C2099">
        <w:rPr>
          <w:rFonts w:ascii="Times New Roman" w:eastAsia="Times New Roman" w:hAnsi="Times New Roman" w:cs="Times New Roman"/>
          <w:color w:val="000000"/>
          <w:sz w:val="24"/>
          <w:szCs w:val="24"/>
        </w:rPr>
        <w:t>capacity increase</w:t>
      </w:r>
      <w:r w:rsidR="007C2099">
        <w:rPr>
          <w:rFonts w:ascii="Times New Roman" w:eastAsia="Times New Roman" w:hAnsi="Times New Roman" w:cs="Times New Roman"/>
          <w:color w:val="000000"/>
          <w:sz w:val="24"/>
          <w:szCs w:val="24"/>
        </w:rPr>
        <w:t xml:space="preserve">s have been formalized and </w:t>
      </w:r>
      <w:r w:rsidR="00B57D94">
        <w:rPr>
          <w:rFonts w:ascii="Times New Roman" w:eastAsia="Times New Roman" w:hAnsi="Times New Roman" w:cs="Times New Roman"/>
          <w:color w:val="000000"/>
          <w:sz w:val="24"/>
          <w:szCs w:val="24"/>
        </w:rPr>
        <w:t xml:space="preserve">AGL’s participation in each </w:t>
      </w:r>
      <w:r w:rsidR="007C2099">
        <w:rPr>
          <w:rFonts w:ascii="Times New Roman" w:eastAsia="Times New Roman" w:hAnsi="Times New Roman" w:cs="Times New Roman"/>
          <w:color w:val="000000"/>
          <w:sz w:val="24"/>
          <w:szCs w:val="24"/>
        </w:rPr>
        <w:t>have</w:t>
      </w:r>
      <w:r w:rsidRPr="00390B69" w:rsidR="007C2099">
        <w:rPr>
          <w:rFonts w:ascii="Times New Roman" w:eastAsia="Times New Roman" w:hAnsi="Times New Roman" w:cs="Times New Roman"/>
          <w:color w:val="000000"/>
          <w:sz w:val="24"/>
          <w:szCs w:val="24"/>
        </w:rPr>
        <w:t xml:space="preserve"> subsequently </w:t>
      </w:r>
      <w:r w:rsidR="007C2099">
        <w:rPr>
          <w:rFonts w:ascii="Times New Roman" w:eastAsia="Times New Roman" w:hAnsi="Times New Roman" w:cs="Times New Roman"/>
          <w:color w:val="000000"/>
          <w:sz w:val="24"/>
          <w:szCs w:val="24"/>
        </w:rPr>
        <w:t xml:space="preserve">been </w:t>
      </w:r>
      <w:r w:rsidRPr="00390B69" w:rsidR="007C2099">
        <w:rPr>
          <w:rFonts w:ascii="Times New Roman" w:eastAsia="Times New Roman" w:hAnsi="Times New Roman" w:cs="Times New Roman"/>
          <w:color w:val="000000"/>
          <w:sz w:val="24"/>
          <w:szCs w:val="24"/>
        </w:rPr>
        <w:t xml:space="preserve">approved in AGL’s </w:t>
      </w:r>
      <w:r>
        <w:rPr>
          <w:rFonts w:ascii="Times New Roman" w:eastAsia="Times New Roman" w:hAnsi="Times New Roman" w:cs="Times New Roman"/>
          <w:color w:val="000000"/>
          <w:sz w:val="24"/>
          <w:szCs w:val="24"/>
        </w:rPr>
        <w:t>2025-2028</w:t>
      </w:r>
      <w:r w:rsidRPr="00390B69" w:rsidR="007C2099">
        <w:rPr>
          <w:rFonts w:ascii="Times New Roman" w:eastAsia="Times New Roman" w:hAnsi="Times New Roman" w:cs="Times New Roman"/>
          <w:color w:val="000000"/>
          <w:sz w:val="24"/>
          <w:szCs w:val="24"/>
        </w:rPr>
        <w:t xml:space="preserve"> Capacity Supply Plan.</w:t>
      </w:r>
      <w:r>
        <w:rPr>
          <w:rStyle w:val="FootnoteReference"/>
          <w:rFonts w:ascii="Times New Roman" w:eastAsia="Times New Roman" w:hAnsi="Times New Roman" w:cs="Times New Roman"/>
          <w:color w:val="000000"/>
          <w:sz w:val="24"/>
          <w:szCs w:val="24"/>
        </w:rPr>
        <w:footnoteReference w:id="9"/>
      </w:r>
      <w:r w:rsidRPr="00390B69" w:rsidR="007C2099">
        <w:rPr>
          <w:rFonts w:ascii="Times New Roman" w:eastAsia="Times New Roman" w:hAnsi="Times New Roman" w:cs="Times New Roman"/>
          <w:color w:val="000000"/>
          <w:sz w:val="24"/>
          <w:szCs w:val="24"/>
        </w:rPr>
        <w:t xml:space="preserve"> In order for the Company t</w:t>
      </w:r>
      <w:r w:rsidRPr="008A552B" w:rsidR="007C2099">
        <w:rPr>
          <w:rFonts w:ascii="Times New Roman" w:eastAsia="Times New Roman" w:hAnsi="Times New Roman" w:cs="Times New Roman"/>
          <w:color w:val="000000"/>
          <w:sz w:val="24"/>
          <w:szCs w:val="24"/>
        </w:rPr>
        <w:t xml:space="preserve">o </w:t>
      </w:r>
      <w:r w:rsidR="007F2371">
        <w:rPr>
          <w:rFonts w:ascii="Times New Roman" w:eastAsia="Times New Roman" w:hAnsi="Times New Roman" w:cs="Times New Roman"/>
          <w:color w:val="000000"/>
          <w:sz w:val="24"/>
          <w:szCs w:val="24"/>
        </w:rPr>
        <w:t>accept</w:t>
      </w:r>
      <w:r w:rsidRPr="00390B69" w:rsidR="007C2099">
        <w:rPr>
          <w:rFonts w:ascii="Times New Roman" w:eastAsia="Times New Roman" w:hAnsi="Times New Roman" w:cs="Times New Roman"/>
          <w:color w:val="000000"/>
          <w:sz w:val="24"/>
          <w:szCs w:val="24"/>
        </w:rPr>
        <w:t xml:space="preserve"> the</w:t>
      </w:r>
      <w:r w:rsidRPr="008A552B" w:rsidR="007C2099">
        <w:rPr>
          <w:rFonts w:ascii="Times New Roman" w:eastAsia="Times New Roman" w:hAnsi="Times New Roman" w:cs="Times New Roman"/>
          <w:color w:val="000000"/>
          <w:sz w:val="24"/>
          <w:szCs w:val="24"/>
        </w:rPr>
        <w:t xml:space="preserve"> additional supply at the necessary locations for system needs, multiple tap stations must be expanded or replaced</w:t>
      </w:r>
      <w:r w:rsidRPr="00390B69" w:rsidR="007C2099">
        <w:rPr>
          <w:rFonts w:ascii="Times New Roman" w:eastAsia="Times New Roman" w:hAnsi="Times New Roman" w:cs="Times New Roman"/>
          <w:color w:val="000000"/>
          <w:sz w:val="24"/>
          <w:szCs w:val="24"/>
        </w:rPr>
        <w:t>.</w:t>
      </w:r>
      <w:r w:rsidR="004B535F">
        <w:rPr>
          <w:rFonts w:ascii="Times New Roman" w:eastAsia="Times New Roman" w:hAnsi="Times New Roman" w:cs="Times New Roman"/>
          <w:color w:val="000000"/>
          <w:sz w:val="24"/>
          <w:szCs w:val="24"/>
        </w:rPr>
        <w:t xml:space="preserve"> </w:t>
      </w:r>
      <w:r w:rsidR="009D78B9">
        <w:rPr>
          <w:rFonts w:ascii="Times New Roman" w:eastAsia="Times New Roman" w:hAnsi="Times New Roman" w:cs="Times New Roman"/>
          <w:color w:val="000000"/>
          <w:sz w:val="24"/>
          <w:szCs w:val="24"/>
        </w:rPr>
        <w:t>The</w:t>
      </w:r>
      <w:r w:rsidR="009D78B9">
        <w:rPr>
          <w:color w:val="595959"/>
          <w:shd w:val="clear" w:color="auto" w:fill="FFFFFF"/>
        </w:rPr>
        <w:t xml:space="preserve"> </w:t>
      </w:r>
      <w:r w:rsidR="009D78B9">
        <w:rPr>
          <w:rFonts w:ascii="Times New Roman" w:eastAsia="Calibri" w:hAnsi="Times New Roman" w:cs="Times New Roman"/>
          <w:sz w:val="24"/>
          <w:szCs w:val="24"/>
        </w:rPr>
        <w:t>upgrades</w:t>
      </w:r>
      <w:r w:rsidR="00D53E50">
        <w:rPr>
          <w:rFonts w:ascii="Times New Roman" w:eastAsia="Calibri" w:hAnsi="Times New Roman" w:cs="Times New Roman"/>
          <w:sz w:val="24"/>
          <w:szCs w:val="24"/>
        </w:rPr>
        <w:t xml:space="preserve"> to the</w:t>
      </w:r>
      <w:r w:rsidRPr="00017B61" w:rsidR="00200215">
        <w:rPr>
          <w:rFonts w:ascii="Times New Roman" w:eastAsia="Calibri" w:hAnsi="Times New Roman" w:cs="Times New Roman"/>
          <w:sz w:val="24"/>
          <w:szCs w:val="24"/>
          <w:highlight w:val="lightGray"/>
        </w:rPr>
        <w:t xml:space="preserve"> </w:t>
      </w:r>
      <w:r w:rsidRPr="00BD467F" w:rsidR="00200215">
        <w:rPr>
          <w:rFonts w:ascii="Times New Roman" w:eastAsia="Calibri" w:hAnsi="Times New Roman" w:cs="Times New Roman"/>
          <w:sz w:val="24"/>
          <w:szCs w:val="24"/>
        </w:rPr>
        <w:t>Riverdale #1</w:t>
      </w:r>
      <w:r w:rsidRPr="00141600" w:rsidR="00D53E50">
        <w:rPr>
          <w:rFonts w:ascii="Times New Roman" w:eastAsia="Calibri" w:hAnsi="Times New Roman" w:cs="Times New Roman"/>
          <w:sz w:val="24"/>
          <w:szCs w:val="24"/>
        </w:rPr>
        <w:t>,</w:t>
      </w:r>
      <w:r w:rsidRPr="00141600" w:rsidR="00200215">
        <w:rPr>
          <w:rFonts w:ascii="Times New Roman" w:eastAsia="Calibri" w:hAnsi="Times New Roman" w:cs="Times New Roman"/>
          <w:sz w:val="24"/>
          <w:szCs w:val="24"/>
        </w:rPr>
        <w:t xml:space="preserve"> </w:t>
      </w:r>
      <w:r w:rsidRPr="00BD467F" w:rsidR="00200215">
        <w:rPr>
          <w:rFonts w:ascii="Times New Roman" w:eastAsia="Calibri" w:hAnsi="Times New Roman" w:cs="Times New Roman"/>
          <w:sz w:val="24"/>
          <w:szCs w:val="24"/>
        </w:rPr>
        <w:t>Augusta #2</w:t>
      </w:r>
      <w:r w:rsidRPr="00141600" w:rsidR="00D53E50">
        <w:rPr>
          <w:rFonts w:ascii="Times New Roman" w:eastAsia="Calibri" w:hAnsi="Times New Roman" w:cs="Times New Roman"/>
          <w:sz w:val="24"/>
          <w:szCs w:val="24"/>
        </w:rPr>
        <w:t>,</w:t>
      </w:r>
      <w:r w:rsidRPr="00141600" w:rsidR="00200215">
        <w:rPr>
          <w:rFonts w:ascii="Times New Roman" w:eastAsia="Calibri" w:hAnsi="Times New Roman" w:cs="Times New Roman"/>
          <w:sz w:val="24"/>
          <w:szCs w:val="24"/>
        </w:rPr>
        <w:t xml:space="preserve"> </w:t>
      </w:r>
      <w:r w:rsidRPr="00BD467F" w:rsidR="009A2500">
        <w:rPr>
          <w:rFonts w:ascii="Times New Roman" w:eastAsia="Calibri" w:hAnsi="Times New Roman" w:cs="Times New Roman"/>
          <w:sz w:val="24"/>
          <w:szCs w:val="24"/>
        </w:rPr>
        <w:t>and</w:t>
      </w:r>
      <w:r w:rsidRPr="00BD467F" w:rsidR="00200215">
        <w:rPr>
          <w:rFonts w:ascii="Times New Roman" w:eastAsia="Calibri" w:hAnsi="Times New Roman" w:cs="Times New Roman"/>
          <w:sz w:val="24"/>
          <w:szCs w:val="24"/>
        </w:rPr>
        <w:t xml:space="preserve"> Augusta #3</w:t>
      </w:r>
      <w:r w:rsidR="00D53E50">
        <w:rPr>
          <w:rFonts w:ascii="Times New Roman" w:eastAsia="Calibri" w:hAnsi="Times New Roman" w:cs="Times New Roman"/>
          <w:sz w:val="24"/>
          <w:szCs w:val="24"/>
        </w:rPr>
        <w:t xml:space="preserve">, </w:t>
      </w:r>
      <w:r w:rsidR="00200215">
        <w:rPr>
          <w:rFonts w:ascii="Times New Roman" w:eastAsia="Times New Roman" w:hAnsi="Times New Roman" w:cs="Times New Roman"/>
          <w:color w:val="000000"/>
          <w:sz w:val="24"/>
          <w:szCs w:val="24"/>
        </w:rPr>
        <w:t xml:space="preserve">tap </w:t>
      </w:r>
      <w:r w:rsidR="007B35F6">
        <w:rPr>
          <w:rFonts w:ascii="Times New Roman" w:eastAsia="Times New Roman" w:hAnsi="Times New Roman" w:cs="Times New Roman"/>
          <w:color w:val="000000"/>
          <w:sz w:val="24"/>
          <w:szCs w:val="24"/>
        </w:rPr>
        <w:t xml:space="preserve">stations </w:t>
      </w:r>
      <w:r w:rsidR="00200215">
        <w:rPr>
          <w:rFonts w:ascii="Times New Roman" w:eastAsia="Times New Roman" w:hAnsi="Times New Roman" w:cs="Times New Roman"/>
          <w:color w:val="000000"/>
          <w:sz w:val="24"/>
          <w:szCs w:val="24"/>
        </w:rPr>
        <w:t>will</w:t>
      </w:r>
      <w:r w:rsidR="007B35F6">
        <w:rPr>
          <w:rFonts w:ascii="Times New Roman" w:eastAsia="Times New Roman" w:hAnsi="Times New Roman" w:cs="Times New Roman"/>
          <w:color w:val="000000"/>
          <w:sz w:val="24"/>
          <w:szCs w:val="24"/>
        </w:rPr>
        <w:t xml:space="preserve"> </w:t>
      </w:r>
      <w:r w:rsidR="00FC4D2D">
        <w:rPr>
          <w:rFonts w:ascii="Times New Roman" w:eastAsia="Times New Roman" w:hAnsi="Times New Roman" w:cs="Times New Roman"/>
          <w:color w:val="000000"/>
          <w:sz w:val="24"/>
          <w:szCs w:val="24"/>
        </w:rPr>
        <w:t>allow the Company to</w:t>
      </w:r>
      <w:r w:rsidR="007B35F6">
        <w:rPr>
          <w:rFonts w:ascii="Times New Roman" w:eastAsia="Times New Roman" w:hAnsi="Times New Roman" w:cs="Times New Roman"/>
          <w:color w:val="000000"/>
          <w:sz w:val="24"/>
          <w:szCs w:val="24"/>
        </w:rPr>
        <w:t xml:space="preserve"> </w:t>
      </w:r>
      <w:r w:rsidR="00B57D94">
        <w:rPr>
          <w:rFonts w:ascii="Times New Roman" w:eastAsia="Times New Roman" w:hAnsi="Times New Roman" w:cs="Times New Roman"/>
          <w:color w:val="000000"/>
          <w:sz w:val="24"/>
          <w:szCs w:val="24"/>
        </w:rPr>
        <w:t xml:space="preserve">take delivery of </w:t>
      </w:r>
      <w:r w:rsidR="007B35F6">
        <w:rPr>
          <w:rFonts w:ascii="Times New Roman" w:eastAsia="Times New Roman" w:hAnsi="Times New Roman" w:cs="Times New Roman"/>
          <w:color w:val="000000"/>
          <w:sz w:val="24"/>
          <w:szCs w:val="24"/>
        </w:rPr>
        <w:t>the new SNG capacity</w:t>
      </w:r>
      <w:r w:rsidR="009A2500">
        <w:rPr>
          <w:rFonts w:ascii="Times New Roman" w:eastAsia="Times New Roman" w:hAnsi="Times New Roman" w:cs="Times New Roman"/>
          <w:color w:val="000000"/>
          <w:sz w:val="24"/>
          <w:szCs w:val="24"/>
        </w:rPr>
        <w:t xml:space="preserve"> from the SSE4 expansion</w:t>
      </w:r>
      <w:r w:rsidR="007B35F6">
        <w:rPr>
          <w:rFonts w:ascii="Times New Roman" w:eastAsia="Times New Roman" w:hAnsi="Times New Roman" w:cs="Times New Roman"/>
          <w:color w:val="000000"/>
          <w:sz w:val="24"/>
          <w:szCs w:val="24"/>
        </w:rPr>
        <w:t xml:space="preserve"> into AGL’s system</w:t>
      </w:r>
      <w:r w:rsidR="00200215">
        <w:rPr>
          <w:rFonts w:ascii="Times New Roman" w:eastAsia="Times New Roman" w:hAnsi="Times New Roman" w:cs="Times New Roman"/>
          <w:color w:val="000000"/>
          <w:sz w:val="24"/>
          <w:szCs w:val="24"/>
        </w:rPr>
        <w:t xml:space="preserve">. The Riverdale LNG </w:t>
      </w:r>
      <w:r w:rsidR="00B225B5">
        <w:rPr>
          <w:rFonts w:ascii="Times New Roman" w:eastAsia="Times New Roman" w:hAnsi="Times New Roman" w:cs="Times New Roman"/>
          <w:color w:val="000000"/>
          <w:sz w:val="24"/>
          <w:szCs w:val="24"/>
        </w:rPr>
        <w:t>tap meter</w:t>
      </w:r>
      <w:r w:rsidR="00200215">
        <w:rPr>
          <w:rFonts w:ascii="Times New Roman" w:eastAsia="Times New Roman" w:hAnsi="Times New Roman" w:cs="Times New Roman"/>
          <w:color w:val="000000"/>
          <w:sz w:val="24"/>
          <w:szCs w:val="24"/>
        </w:rPr>
        <w:t xml:space="preserve"> upgrade is needed to </w:t>
      </w:r>
      <w:r w:rsidR="009909D7">
        <w:rPr>
          <w:rFonts w:ascii="Times New Roman" w:eastAsia="Times New Roman" w:hAnsi="Times New Roman" w:cs="Times New Roman"/>
          <w:color w:val="000000"/>
          <w:sz w:val="24"/>
          <w:szCs w:val="24"/>
        </w:rPr>
        <w:t>allow</w:t>
      </w:r>
      <w:r w:rsidR="00200215">
        <w:rPr>
          <w:rFonts w:ascii="Times New Roman" w:eastAsia="Times New Roman" w:hAnsi="Times New Roman" w:cs="Times New Roman"/>
          <w:color w:val="000000"/>
          <w:sz w:val="24"/>
          <w:szCs w:val="24"/>
        </w:rPr>
        <w:t xml:space="preserve"> gas from both SNG and Transco</w:t>
      </w:r>
      <w:r w:rsidR="00303EF3">
        <w:rPr>
          <w:rFonts w:ascii="Times New Roman" w:eastAsia="Times New Roman" w:hAnsi="Times New Roman" w:cs="Times New Roman"/>
          <w:color w:val="000000"/>
          <w:sz w:val="24"/>
          <w:szCs w:val="24"/>
        </w:rPr>
        <w:t xml:space="preserve"> to feed</w:t>
      </w:r>
      <w:r w:rsidR="00F53B82">
        <w:rPr>
          <w:rFonts w:ascii="Times New Roman" w:eastAsia="Times New Roman" w:hAnsi="Times New Roman" w:cs="Times New Roman"/>
          <w:color w:val="000000"/>
          <w:sz w:val="24"/>
          <w:szCs w:val="24"/>
        </w:rPr>
        <w:t xml:space="preserve"> into the Riverdale LNG plant</w:t>
      </w:r>
      <w:r w:rsidR="00200215">
        <w:rPr>
          <w:rFonts w:ascii="Times New Roman" w:eastAsia="Times New Roman" w:hAnsi="Times New Roman" w:cs="Times New Roman"/>
          <w:color w:val="000000"/>
          <w:sz w:val="24"/>
          <w:szCs w:val="24"/>
        </w:rPr>
        <w:t xml:space="preserve">. </w:t>
      </w:r>
      <w:r w:rsidRPr="00AE7689" w:rsidR="00AE7689">
        <w:rPr>
          <w:rFonts w:ascii="Times New Roman" w:eastAsia="Times New Roman" w:hAnsi="Times New Roman" w:cs="Times New Roman"/>
          <w:color w:val="000000"/>
          <w:sz w:val="24"/>
          <w:szCs w:val="24"/>
        </w:rPr>
        <w:t xml:space="preserve">Currently, there is a connection between the Riverdale #1 station and the LNG plant that includes a meter set to measure the SNG gas feeding the plant. This meter set needs to be rebuilt due to pressure and flow changes associated with the new SNG supply and ongoing liquefaction system upgrades at the plant. In addition to this existing SNG connection, AGL will install the necessary piping and a new meter set to connect Transco gas to the LNG plant. The Riverdale LNG </w:t>
      </w:r>
      <w:r w:rsidR="00B225B5">
        <w:rPr>
          <w:rFonts w:ascii="Times New Roman" w:eastAsia="Times New Roman" w:hAnsi="Times New Roman" w:cs="Times New Roman"/>
          <w:color w:val="000000"/>
          <w:sz w:val="24"/>
          <w:szCs w:val="24"/>
        </w:rPr>
        <w:t>tap meter</w:t>
      </w:r>
      <w:r w:rsidRPr="00AE7689" w:rsidR="00AE7689">
        <w:rPr>
          <w:rFonts w:ascii="Times New Roman" w:eastAsia="Times New Roman" w:hAnsi="Times New Roman" w:cs="Times New Roman"/>
          <w:color w:val="000000"/>
          <w:sz w:val="24"/>
          <w:szCs w:val="24"/>
        </w:rPr>
        <w:t xml:space="preserve"> project includes both the replacement of the SNG metering facilities and the addition of the new interconnect and metering </w:t>
      </w:r>
      <w:r w:rsidR="00B225B5">
        <w:rPr>
          <w:rFonts w:ascii="Times New Roman" w:eastAsia="Times New Roman" w:hAnsi="Times New Roman" w:cs="Times New Roman"/>
          <w:color w:val="000000"/>
          <w:sz w:val="24"/>
          <w:szCs w:val="24"/>
        </w:rPr>
        <w:t xml:space="preserve">for gas </w:t>
      </w:r>
      <w:r w:rsidRPr="00AE7689" w:rsidR="00AE7689">
        <w:rPr>
          <w:rFonts w:ascii="Times New Roman" w:eastAsia="Times New Roman" w:hAnsi="Times New Roman" w:cs="Times New Roman"/>
          <w:color w:val="000000"/>
          <w:sz w:val="24"/>
          <w:szCs w:val="24"/>
        </w:rPr>
        <w:t>from Transco. Once both are completed, AGL will be able to better utilize the capacity additions from Transco and SNG to support both LNG storage and pipeline system needs</w:t>
      </w:r>
      <w:r w:rsidR="007A5718">
        <w:rPr>
          <w:rFonts w:ascii="Times New Roman" w:eastAsia="Times New Roman" w:hAnsi="Times New Roman" w:cs="Times New Roman"/>
          <w:color w:val="000000"/>
          <w:sz w:val="24"/>
          <w:szCs w:val="24"/>
        </w:rPr>
        <w:t xml:space="preserve">. </w:t>
      </w:r>
      <w:r w:rsidR="00200215">
        <w:rPr>
          <w:rFonts w:ascii="Times New Roman" w:eastAsia="Times New Roman" w:hAnsi="Times New Roman" w:cs="Times New Roman"/>
          <w:color w:val="000000"/>
          <w:sz w:val="24"/>
          <w:szCs w:val="24"/>
        </w:rPr>
        <w:t xml:space="preserve">The upgrades to the Brunswick/Bordertown tap station </w:t>
      </w:r>
      <w:r w:rsidR="009A2500">
        <w:rPr>
          <w:rFonts w:ascii="Times New Roman" w:eastAsia="Times New Roman" w:hAnsi="Times New Roman" w:cs="Times New Roman"/>
          <w:color w:val="000000"/>
          <w:sz w:val="24"/>
          <w:szCs w:val="24"/>
        </w:rPr>
        <w:t>are</w:t>
      </w:r>
      <w:r w:rsidR="00200215">
        <w:rPr>
          <w:rFonts w:ascii="Times New Roman" w:eastAsia="Times New Roman" w:hAnsi="Times New Roman" w:cs="Times New Roman"/>
          <w:color w:val="000000"/>
          <w:sz w:val="24"/>
          <w:szCs w:val="24"/>
        </w:rPr>
        <w:t xml:space="preserve"> needed to replace obsolete </w:t>
      </w:r>
      <w:r w:rsidR="007A5718">
        <w:rPr>
          <w:rFonts w:ascii="Times New Roman" w:eastAsia="Times New Roman" w:hAnsi="Times New Roman" w:cs="Times New Roman"/>
          <w:color w:val="000000"/>
          <w:sz w:val="24"/>
          <w:szCs w:val="24"/>
        </w:rPr>
        <w:t>equipment</w:t>
      </w:r>
      <w:r w:rsidR="00F35217">
        <w:rPr>
          <w:rFonts w:ascii="Times New Roman" w:eastAsia="Times New Roman" w:hAnsi="Times New Roman" w:cs="Times New Roman"/>
          <w:color w:val="000000"/>
          <w:sz w:val="24"/>
          <w:szCs w:val="24"/>
        </w:rPr>
        <w:t>, address MAOP reconfirmation</w:t>
      </w:r>
      <w:r w:rsidR="00090A27">
        <w:rPr>
          <w:rFonts w:ascii="Times New Roman" w:eastAsia="Times New Roman" w:hAnsi="Times New Roman" w:cs="Times New Roman"/>
          <w:color w:val="000000"/>
          <w:sz w:val="24"/>
          <w:szCs w:val="24"/>
        </w:rPr>
        <w:t xml:space="preserve"> issues,</w:t>
      </w:r>
      <w:r w:rsidR="00590396">
        <w:rPr>
          <w:rFonts w:ascii="Times New Roman" w:eastAsia="Times New Roman" w:hAnsi="Times New Roman" w:cs="Times New Roman"/>
          <w:color w:val="000000"/>
          <w:sz w:val="24"/>
          <w:szCs w:val="24"/>
        </w:rPr>
        <w:t xml:space="preserve"> and to provide for additional throughput necessary to support increasing cus</w:t>
      </w:r>
      <w:r w:rsidR="00377223">
        <w:rPr>
          <w:rFonts w:ascii="Times New Roman" w:eastAsia="Times New Roman" w:hAnsi="Times New Roman" w:cs="Times New Roman"/>
          <w:color w:val="000000"/>
          <w:sz w:val="24"/>
          <w:szCs w:val="24"/>
        </w:rPr>
        <w:t>tomer usage in the area</w:t>
      </w:r>
      <w:r w:rsidR="00200215">
        <w:rPr>
          <w:rFonts w:ascii="Times New Roman" w:eastAsia="Times New Roman" w:hAnsi="Times New Roman" w:cs="Times New Roman"/>
          <w:color w:val="000000"/>
          <w:sz w:val="24"/>
          <w:szCs w:val="24"/>
        </w:rPr>
        <w:t xml:space="preserve">. </w:t>
      </w:r>
      <w:r w:rsidR="007B35F6">
        <w:rPr>
          <w:rFonts w:ascii="Times New Roman" w:eastAsia="Times New Roman" w:hAnsi="Times New Roman" w:cs="Times New Roman"/>
          <w:color w:val="000000"/>
          <w:sz w:val="24"/>
          <w:szCs w:val="24"/>
        </w:rPr>
        <w:t xml:space="preserve"> </w:t>
      </w:r>
    </w:p>
    <w:p w:rsidR="00464172" w:rsidP="00C15032" w14:paraId="728D264E" w14:textId="2EE675B2">
      <w:pPr>
        <w:spacing w:line="480" w:lineRule="auto"/>
        <w:ind w:firstLine="720"/>
        <w:jc w:val="both"/>
        <w:rPr>
          <w:rFonts w:ascii="Times New Roman" w:eastAsia="Times New Roman" w:hAnsi="Times New Roman" w:cs="Times New Roman"/>
          <w:color w:val="000000"/>
          <w:sz w:val="24"/>
          <w:szCs w:val="24"/>
        </w:rPr>
      </w:pPr>
      <w:r w:rsidRPr="006C5E6D">
        <w:rPr>
          <w:rFonts w:ascii="Times New Roman" w:eastAsia="Times New Roman" w:hAnsi="Times New Roman" w:cs="Times New Roman"/>
          <w:color w:val="000000"/>
          <w:sz w:val="24"/>
          <w:szCs w:val="24"/>
        </w:rPr>
        <w:t xml:space="preserve">A larger Brunswick – Border Town Station will serve the needs of new and existing </w:t>
      </w:r>
      <w:r w:rsidRPr="006C5E6D" w:rsidR="001C2ED5">
        <w:rPr>
          <w:rFonts w:ascii="Times New Roman" w:eastAsia="Times New Roman" w:hAnsi="Times New Roman" w:cs="Times New Roman"/>
          <w:color w:val="000000"/>
          <w:sz w:val="24"/>
          <w:szCs w:val="24"/>
        </w:rPr>
        <w:t>customers and</w:t>
      </w:r>
      <w:r w:rsidRPr="006C5E6D">
        <w:rPr>
          <w:rFonts w:ascii="Times New Roman" w:eastAsia="Times New Roman" w:hAnsi="Times New Roman" w:cs="Times New Roman"/>
          <w:color w:val="000000"/>
          <w:sz w:val="24"/>
          <w:szCs w:val="24"/>
        </w:rPr>
        <w:t xml:space="preserve"> provide greater operational flexibility for AGL’s existing capacity rights on SNG and Magnolia Pipeline Project.</w:t>
      </w:r>
    </w:p>
    <w:p w:rsidR="00FE0532" w:rsidP="00FE0532" w14:paraId="2C036C42" w14:textId="118D798F">
      <w:pPr>
        <w:spacing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AGL </w:t>
      </w:r>
      <w:r w:rsidR="00593D04">
        <w:rPr>
          <w:rFonts w:ascii="Times New Roman" w:eastAsia="Times New Roman" w:hAnsi="Times New Roman" w:cs="Times New Roman"/>
          <w:color w:val="000000"/>
          <w:sz w:val="24"/>
          <w:szCs w:val="24"/>
        </w:rPr>
        <w:t xml:space="preserve">will </w:t>
      </w:r>
      <w:r w:rsidR="000C6E3C">
        <w:rPr>
          <w:rFonts w:ascii="Times New Roman" w:eastAsia="Times New Roman" w:hAnsi="Times New Roman" w:cs="Times New Roman"/>
          <w:color w:val="000000"/>
          <w:sz w:val="24"/>
          <w:szCs w:val="24"/>
        </w:rPr>
        <w:t>complete the</w:t>
      </w:r>
      <w:r>
        <w:rPr>
          <w:rFonts w:ascii="Times New Roman" w:eastAsia="Times New Roman" w:hAnsi="Times New Roman" w:cs="Times New Roman"/>
          <w:color w:val="000000"/>
          <w:sz w:val="24"/>
          <w:szCs w:val="24"/>
        </w:rPr>
        <w:t xml:space="preserve"> proposed </w:t>
      </w:r>
      <w:r w:rsidR="007F2371">
        <w:rPr>
          <w:rFonts w:ascii="Times New Roman" w:eastAsia="Times New Roman" w:hAnsi="Times New Roman" w:cs="Times New Roman"/>
          <w:color w:val="000000"/>
          <w:sz w:val="24"/>
          <w:szCs w:val="24"/>
        </w:rPr>
        <w:t xml:space="preserve">SRR </w:t>
      </w:r>
      <w:r>
        <w:rPr>
          <w:rFonts w:ascii="Times New Roman" w:eastAsia="Times New Roman" w:hAnsi="Times New Roman" w:cs="Times New Roman"/>
          <w:color w:val="000000"/>
          <w:sz w:val="24"/>
          <w:szCs w:val="24"/>
        </w:rPr>
        <w:t xml:space="preserve">projects under </w:t>
      </w:r>
      <w:r w:rsidR="007F2371">
        <w:rPr>
          <w:rFonts w:ascii="Times New Roman" w:eastAsia="Times New Roman" w:hAnsi="Times New Roman" w:cs="Times New Roman"/>
          <w:color w:val="000000"/>
          <w:sz w:val="24"/>
          <w:szCs w:val="24"/>
        </w:rPr>
        <w:t>existing</w:t>
      </w:r>
      <w:r>
        <w:rPr>
          <w:rFonts w:ascii="Times New Roman" w:eastAsia="Times New Roman" w:hAnsi="Times New Roman" w:cs="Times New Roman"/>
          <w:color w:val="000000"/>
          <w:sz w:val="24"/>
          <w:szCs w:val="24"/>
        </w:rPr>
        <w:t xml:space="preserve"> project numbers</w:t>
      </w:r>
      <w:r w:rsidR="007F2371">
        <w:rPr>
          <w:rFonts w:ascii="Times New Roman" w:eastAsia="Times New Roman" w:hAnsi="Times New Roman" w:cs="Times New Roman"/>
          <w:color w:val="000000"/>
          <w:sz w:val="24"/>
          <w:szCs w:val="24"/>
        </w:rPr>
        <w:t xml:space="preserve">. </w:t>
      </w:r>
      <w:r w:rsidR="00BE3419">
        <w:rPr>
          <w:rFonts w:ascii="Times New Roman" w:eastAsia="Calibri" w:hAnsi="Times New Roman" w:cs="Times New Roman"/>
          <w:sz w:val="24"/>
          <w:szCs w:val="24"/>
        </w:rPr>
        <w:t>These</w:t>
      </w:r>
      <w:r>
        <w:rPr>
          <w:rFonts w:ascii="Times New Roman" w:eastAsia="Calibri" w:hAnsi="Times New Roman" w:cs="Times New Roman"/>
          <w:sz w:val="24"/>
          <w:szCs w:val="24"/>
        </w:rPr>
        <w:t xml:space="preserve"> SRR projects have an estimated cost of $33.4 million, and the SRR budget category is currently $62 million under budget</w:t>
      </w:r>
      <w:r>
        <w:rPr>
          <w:rFonts w:ascii="Times New Roman" w:eastAsia="Times New Roman" w:hAnsi="Times New Roman" w:cs="Times New Roman"/>
          <w:color w:val="000000"/>
          <w:sz w:val="24"/>
          <w:szCs w:val="24"/>
        </w:rPr>
        <w:t xml:space="preserve">. The underspent SRR is a result of a few projects </w:t>
      </w:r>
      <w:r w:rsidR="00593D04">
        <w:rPr>
          <w:rFonts w:ascii="Times New Roman" w:eastAsia="Times New Roman" w:hAnsi="Times New Roman" w:cs="Times New Roman"/>
          <w:color w:val="000000"/>
          <w:sz w:val="24"/>
          <w:szCs w:val="24"/>
        </w:rPr>
        <w:t>that came</w:t>
      </w:r>
      <w:r>
        <w:rPr>
          <w:rFonts w:ascii="Times New Roman" w:eastAsia="Times New Roman" w:hAnsi="Times New Roman" w:cs="Times New Roman"/>
          <w:color w:val="000000"/>
          <w:sz w:val="24"/>
          <w:szCs w:val="24"/>
        </w:rPr>
        <w:t xml:space="preserve"> in lower than original estimates based on changing market conditions, as well as significant delays on some key System Reinforcement pipeline projects primarily due to land </w:t>
      </w:r>
      <w:r w:rsidR="00593D04">
        <w:rPr>
          <w:rFonts w:ascii="Times New Roman" w:eastAsia="Times New Roman" w:hAnsi="Times New Roman" w:cs="Times New Roman"/>
          <w:color w:val="000000"/>
          <w:sz w:val="24"/>
          <w:szCs w:val="24"/>
        </w:rPr>
        <w:t xml:space="preserve">access </w:t>
      </w:r>
      <w:r>
        <w:rPr>
          <w:rFonts w:ascii="Times New Roman" w:eastAsia="Times New Roman" w:hAnsi="Times New Roman" w:cs="Times New Roman"/>
          <w:color w:val="000000"/>
          <w:sz w:val="24"/>
          <w:szCs w:val="24"/>
        </w:rPr>
        <w:t xml:space="preserve">and related challenges. AGL is working to resolve these land issues as outlined below, but this has resulted in an SRR underspend in 2025 and expected continued challenges in 2026 and 2027. While these challenges are delaying the resolution of the issues driving these projects as outlined in the 2025-2034 i-CDP MFR document, they are providing room within the SRR to include the proposed </w:t>
      </w:r>
      <w:r w:rsidR="00554B26">
        <w:rPr>
          <w:rFonts w:ascii="Times New Roman" w:eastAsia="Times New Roman" w:hAnsi="Times New Roman" w:cs="Times New Roman"/>
          <w:color w:val="000000"/>
          <w:sz w:val="24"/>
          <w:szCs w:val="24"/>
        </w:rPr>
        <w:t>four (4)</w:t>
      </w:r>
      <w:r>
        <w:rPr>
          <w:rFonts w:ascii="Times New Roman" w:eastAsia="Times New Roman" w:hAnsi="Times New Roman" w:cs="Times New Roman"/>
          <w:color w:val="000000"/>
          <w:sz w:val="24"/>
          <w:szCs w:val="24"/>
        </w:rPr>
        <w:t xml:space="preserve"> SRR </w:t>
      </w:r>
      <w:r w:rsidR="008B726B">
        <w:rPr>
          <w:rFonts w:ascii="Times New Roman" w:eastAsia="Times New Roman" w:hAnsi="Times New Roman" w:cs="Times New Roman"/>
          <w:color w:val="000000"/>
          <w:sz w:val="24"/>
          <w:szCs w:val="24"/>
        </w:rPr>
        <w:t xml:space="preserve">tap station </w:t>
      </w:r>
      <w:r>
        <w:rPr>
          <w:rFonts w:ascii="Times New Roman" w:eastAsia="Times New Roman" w:hAnsi="Times New Roman" w:cs="Times New Roman"/>
          <w:color w:val="000000"/>
          <w:sz w:val="24"/>
          <w:szCs w:val="24"/>
        </w:rPr>
        <w:t>projects</w:t>
      </w:r>
      <w:r w:rsidR="00554B26">
        <w:rPr>
          <w:rFonts w:ascii="Times New Roman" w:eastAsia="Times New Roman" w:hAnsi="Times New Roman" w:cs="Times New Roman"/>
          <w:color w:val="000000"/>
          <w:sz w:val="24"/>
          <w:szCs w:val="24"/>
        </w:rPr>
        <w:t xml:space="preserve"> and one (1) </w:t>
      </w:r>
      <w:r w:rsidR="00784B9B">
        <w:rPr>
          <w:rFonts w:ascii="Times New Roman" w:eastAsia="Times New Roman" w:hAnsi="Times New Roman" w:cs="Times New Roman"/>
          <w:color w:val="000000"/>
          <w:sz w:val="24"/>
          <w:szCs w:val="24"/>
        </w:rPr>
        <w:t xml:space="preserve">Riverdale </w:t>
      </w:r>
      <w:r w:rsidR="00554B26">
        <w:rPr>
          <w:rFonts w:ascii="Times New Roman" w:eastAsia="Times New Roman" w:hAnsi="Times New Roman" w:cs="Times New Roman"/>
          <w:color w:val="000000"/>
          <w:sz w:val="24"/>
          <w:szCs w:val="24"/>
        </w:rPr>
        <w:t xml:space="preserve">LNG </w:t>
      </w:r>
      <w:r w:rsidR="008B726B">
        <w:rPr>
          <w:rFonts w:ascii="Times New Roman" w:eastAsia="Times New Roman" w:hAnsi="Times New Roman" w:cs="Times New Roman"/>
          <w:color w:val="000000"/>
          <w:sz w:val="24"/>
          <w:szCs w:val="24"/>
        </w:rPr>
        <w:t>tap meter</w:t>
      </w:r>
      <w:r>
        <w:rPr>
          <w:rFonts w:ascii="Times New Roman" w:eastAsia="Times New Roman" w:hAnsi="Times New Roman" w:cs="Times New Roman"/>
          <w:color w:val="000000"/>
          <w:sz w:val="24"/>
          <w:szCs w:val="24"/>
        </w:rPr>
        <w:t xml:space="preserve"> outlined above while staying within approved SRR investment levels.</w:t>
      </w:r>
    </w:p>
    <w:p w:rsidR="00FE0532" w:rsidP="00721702" w14:paraId="1A5CE570" w14:textId="0B6467A8">
      <w:pPr>
        <w:spacing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For example, the most significant System Reinforcement pipeline project delay has been on the approved Cumming to McGinnis project. This project involves adding an additional pipeline within a current easement to allow for the flow of the remaining increased capacity of the Cherokee LNG Expansion project into the surrounding system and to address area pressure issues as outlined in the 2025-2034 i-CDP MFR document. These delays have been exacerbated by the additional unsuccessful work to try and find an alternate route that did not cross the local municipal gas company’s territory and then the need for approval under the Commission’s safety rules for the additional pipeline installation </w:t>
      </w:r>
      <w:r w:rsidR="00BE3419">
        <w:rPr>
          <w:rFonts w:ascii="Times New Roman" w:eastAsia="Times New Roman" w:hAnsi="Times New Roman" w:cs="Times New Roman"/>
          <w:color w:val="000000"/>
          <w:sz w:val="24"/>
          <w:szCs w:val="24"/>
        </w:rPr>
        <w:t>running</w:t>
      </w:r>
      <w:r>
        <w:rPr>
          <w:rFonts w:ascii="Times New Roman" w:eastAsia="Times New Roman" w:hAnsi="Times New Roman" w:cs="Times New Roman"/>
          <w:color w:val="000000"/>
          <w:sz w:val="24"/>
          <w:szCs w:val="24"/>
        </w:rPr>
        <w:t xml:space="preserve"> adjacent </w:t>
      </w:r>
      <w:r w:rsidR="00BE3419">
        <w:rPr>
          <w:rFonts w:ascii="Times New Roman" w:eastAsia="Times New Roman" w:hAnsi="Times New Roman" w:cs="Times New Roman"/>
          <w:color w:val="000000"/>
          <w:sz w:val="24"/>
          <w:szCs w:val="24"/>
        </w:rPr>
        <w:t xml:space="preserve">to </w:t>
      </w:r>
      <w:r>
        <w:rPr>
          <w:rFonts w:ascii="Times New Roman" w:eastAsia="Times New Roman" w:hAnsi="Times New Roman" w:cs="Times New Roman"/>
          <w:color w:val="000000"/>
          <w:sz w:val="24"/>
          <w:szCs w:val="24"/>
        </w:rPr>
        <w:t xml:space="preserve">and intersecting pipeline systems. </w:t>
      </w:r>
      <w:r w:rsidRPr="00186979">
        <w:rPr>
          <w:rFonts w:ascii="Times New Roman" w:eastAsia="Times New Roman" w:hAnsi="Times New Roman" w:cs="Times New Roman"/>
          <w:color w:val="000000"/>
          <w:sz w:val="24"/>
          <w:szCs w:val="24"/>
        </w:rPr>
        <w:t xml:space="preserve">In addition to schedule-related delays on certain System Reinforcement pipeline projects, AGL has also experienced </w:t>
      </w:r>
      <w:r w:rsidRPr="007F4076">
        <w:rPr>
          <w:rFonts w:ascii="Times New Roman" w:eastAsia="Times New Roman" w:hAnsi="Times New Roman" w:cs="Times New Roman"/>
          <w:color w:val="000000"/>
          <w:sz w:val="24"/>
          <w:szCs w:val="24"/>
        </w:rPr>
        <w:t>lower-than-forecasted project costs on other approved projects during 2025</w:t>
      </w:r>
      <w:r w:rsidRPr="00186979">
        <w:rPr>
          <w:rFonts w:ascii="Times New Roman" w:eastAsia="Times New Roman" w:hAnsi="Times New Roman" w:cs="Times New Roman"/>
          <w:color w:val="000000"/>
          <w:sz w:val="24"/>
          <w:szCs w:val="24"/>
        </w:rPr>
        <w:t xml:space="preserve">. These favorable variances are primarily attributable to </w:t>
      </w:r>
      <w:r w:rsidRPr="007F4076">
        <w:rPr>
          <w:rFonts w:ascii="Times New Roman" w:eastAsia="Times New Roman" w:hAnsi="Times New Roman" w:cs="Times New Roman"/>
          <w:color w:val="000000"/>
          <w:sz w:val="24"/>
          <w:szCs w:val="24"/>
        </w:rPr>
        <w:t>competitive construction bids received below original estimates and limited route refinements that reduced construction complexity and overall project scope</w:t>
      </w:r>
      <w:r w:rsidRPr="00186979">
        <w:rPr>
          <w:rFonts w:ascii="Times New Roman" w:eastAsia="Times New Roman" w:hAnsi="Times New Roman" w:cs="Times New Roman"/>
          <w:color w:val="000000"/>
          <w:sz w:val="24"/>
          <w:szCs w:val="24"/>
        </w:rPr>
        <w:t xml:space="preserve">. Collectively, these favorable cost outcomes </w:t>
      </w:r>
      <w:r>
        <w:rPr>
          <w:rFonts w:ascii="Times New Roman" w:eastAsia="Times New Roman" w:hAnsi="Times New Roman" w:cs="Times New Roman"/>
          <w:color w:val="000000"/>
          <w:sz w:val="24"/>
          <w:szCs w:val="24"/>
        </w:rPr>
        <w:t xml:space="preserve">and </w:t>
      </w:r>
      <w:r w:rsidRPr="00186979">
        <w:rPr>
          <w:rFonts w:ascii="Times New Roman" w:eastAsia="Times New Roman" w:hAnsi="Times New Roman" w:cs="Times New Roman"/>
          <w:color w:val="000000"/>
          <w:sz w:val="24"/>
          <w:szCs w:val="24"/>
        </w:rPr>
        <w:t>project delays</w:t>
      </w:r>
      <w:r>
        <w:rPr>
          <w:rFonts w:ascii="Times New Roman" w:eastAsia="Times New Roman" w:hAnsi="Times New Roman" w:cs="Times New Roman"/>
          <w:color w:val="000000"/>
          <w:sz w:val="24"/>
          <w:szCs w:val="24"/>
        </w:rPr>
        <w:t xml:space="preserve"> </w:t>
      </w:r>
      <w:r w:rsidRPr="00186979">
        <w:rPr>
          <w:rFonts w:ascii="Times New Roman" w:eastAsia="Times New Roman" w:hAnsi="Times New Roman" w:cs="Times New Roman"/>
          <w:color w:val="000000"/>
          <w:sz w:val="24"/>
          <w:szCs w:val="24"/>
        </w:rPr>
        <w:t>provide additional flexibility within the approved 2025</w:t>
      </w:r>
      <w:r>
        <w:rPr>
          <w:rFonts w:ascii="Times New Roman" w:eastAsia="Times New Roman" w:hAnsi="Times New Roman" w:cs="Times New Roman"/>
          <w:color w:val="000000"/>
          <w:sz w:val="24"/>
          <w:szCs w:val="24"/>
        </w:rPr>
        <w:t>-2027</w:t>
      </w:r>
      <w:r w:rsidRPr="00186979">
        <w:rPr>
          <w:rFonts w:ascii="Times New Roman" w:eastAsia="Times New Roman" w:hAnsi="Times New Roman" w:cs="Times New Roman"/>
          <w:color w:val="000000"/>
          <w:sz w:val="24"/>
          <w:szCs w:val="24"/>
        </w:rPr>
        <w:t xml:space="preserve"> i</w:t>
      </w:r>
      <w:r w:rsidRPr="00186979">
        <w:rPr>
          <w:rFonts w:ascii="Times New Roman" w:eastAsia="Times New Roman" w:hAnsi="Times New Roman" w:cs="Times New Roman"/>
          <w:color w:val="000000"/>
          <w:sz w:val="24"/>
          <w:szCs w:val="24"/>
        </w:rPr>
        <w:noBreakHyphen/>
        <w:t>CDP budget framework</w:t>
      </w:r>
      <w:r>
        <w:rPr>
          <w:rFonts w:ascii="Times New Roman" w:eastAsia="Times New Roman" w:hAnsi="Times New Roman" w:cs="Times New Roman"/>
          <w:color w:val="000000"/>
          <w:sz w:val="24"/>
          <w:szCs w:val="24"/>
        </w:rPr>
        <w:t xml:space="preserve"> to support the addition of </w:t>
      </w:r>
      <w:r w:rsidR="00405795">
        <w:rPr>
          <w:rFonts w:ascii="Times New Roman" w:eastAsia="Times New Roman" w:hAnsi="Times New Roman" w:cs="Times New Roman"/>
          <w:color w:val="000000"/>
          <w:sz w:val="24"/>
          <w:szCs w:val="24"/>
        </w:rPr>
        <w:t>four (4)</w:t>
      </w:r>
      <w:r>
        <w:rPr>
          <w:rFonts w:ascii="Times New Roman" w:eastAsia="Times New Roman" w:hAnsi="Times New Roman" w:cs="Times New Roman"/>
          <w:color w:val="000000"/>
          <w:sz w:val="24"/>
          <w:szCs w:val="24"/>
        </w:rPr>
        <w:t xml:space="preserve"> new</w:t>
      </w:r>
      <w:r w:rsidR="00405795">
        <w:rPr>
          <w:rFonts w:ascii="Times New Roman" w:eastAsia="Times New Roman" w:hAnsi="Times New Roman" w:cs="Times New Roman"/>
          <w:color w:val="000000"/>
          <w:sz w:val="24"/>
          <w:szCs w:val="24"/>
        </w:rPr>
        <w:t xml:space="preserve"> upgrades to</w:t>
      </w:r>
      <w:r>
        <w:rPr>
          <w:rFonts w:ascii="Times New Roman" w:eastAsia="Times New Roman" w:hAnsi="Times New Roman" w:cs="Times New Roman"/>
          <w:color w:val="000000"/>
          <w:sz w:val="24"/>
          <w:szCs w:val="24"/>
        </w:rPr>
        <w:t xml:space="preserve"> tap stations</w:t>
      </w:r>
      <w:r w:rsidR="00405795">
        <w:rPr>
          <w:rFonts w:ascii="Times New Roman" w:eastAsia="Times New Roman" w:hAnsi="Times New Roman" w:cs="Times New Roman"/>
          <w:color w:val="000000"/>
          <w:sz w:val="24"/>
          <w:szCs w:val="24"/>
        </w:rPr>
        <w:t xml:space="preserve"> and one (1) </w:t>
      </w:r>
      <w:r w:rsidR="00784B9B">
        <w:rPr>
          <w:rFonts w:ascii="Times New Roman" w:eastAsia="Times New Roman" w:hAnsi="Times New Roman" w:cs="Times New Roman"/>
          <w:color w:val="000000"/>
          <w:sz w:val="24"/>
          <w:szCs w:val="24"/>
        </w:rPr>
        <w:t xml:space="preserve">Riverdale upgrade to the </w:t>
      </w:r>
      <w:r w:rsidR="00405795">
        <w:rPr>
          <w:rFonts w:ascii="Times New Roman" w:eastAsia="Times New Roman" w:hAnsi="Times New Roman" w:cs="Times New Roman"/>
          <w:color w:val="000000"/>
          <w:sz w:val="24"/>
          <w:szCs w:val="24"/>
        </w:rPr>
        <w:t xml:space="preserve">LNG </w:t>
      </w:r>
      <w:r w:rsidR="00B72606">
        <w:rPr>
          <w:rFonts w:ascii="Times New Roman" w:eastAsia="Times New Roman" w:hAnsi="Times New Roman" w:cs="Times New Roman"/>
          <w:color w:val="000000"/>
          <w:sz w:val="24"/>
          <w:szCs w:val="24"/>
        </w:rPr>
        <w:t>tap m</w:t>
      </w:r>
      <w:r w:rsidR="00405795">
        <w:rPr>
          <w:rFonts w:ascii="Times New Roman" w:eastAsia="Times New Roman" w:hAnsi="Times New Roman" w:cs="Times New Roman"/>
          <w:color w:val="000000"/>
          <w:sz w:val="24"/>
          <w:szCs w:val="24"/>
        </w:rPr>
        <w:t>eter</w:t>
      </w:r>
      <w:r>
        <w:rPr>
          <w:rFonts w:ascii="Times New Roman" w:eastAsia="Times New Roman" w:hAnsi="Times New Roman" w:cs="Times New Roman"/>
          <w:color w:val="000000"/>
          <w:sz w:val="24"/>
          <w:szCs w:val="24"/>
        </w:rPr>
        <w:t>.</w:t>
      </w:r>
    </w:p>
    <w:p w:rsidR="009861B4" w:rsidP="00690F0C" w14:paraId="78DABBC5" w14:textId="77777777">
      <w:pPr>
        <w:spacing w:line="480" w:lineRule="auto"/>
        <w:ind w:firstLine="720"/>
        <w:jc w:val="both"/>
        <w:rPr>
          <w:rFonts w:ascii="Times New Roman" w:eastAsia="Calibri" w:hAnsi="Times New Roman" w:cs="Times New Roman"/>
          <w:sz w:val="24"/>
          <w:szCs w:val="24"/>
        </w:rPr>
      </w:pPr>
      <w:r>
        <w:rPr>
          <w:rFonts w:ascii="Times New Roman" w:eastAsia="Times New Roman" w:hAnsi="Times New Roman" w:cs="Times New Roman"/>
          <w:color w:val="000000"/>
          <w:sz w:val="24"/>
          <w:szCs w:val="24"/>
        </w:rPr>
        <w:t>Additional details for each of these stations is provided in the Minimum Filing Requirements (“MFR”) document as required by the i-CDP Governance Document for all System Reinforcement projects.</w:t>
      </w:r>
    </w:p>
    <w:p w:rsidR="000A7763" w:rsidP="000C4C8D" w14:paraId="7A627CB5" w14:textId="7B04EBA2">
      <w:pPr>
        <w:keepNext/>
        <w:ind w:firstLine="720"/>
        <w:jc w:val="both"/>
        <w:rPr>
          <w:rFonts w:ascii="Times New Roman" w:eastAsia="Calibri" w:hAnsi="Times New Roman" w:cs="Times New Roman"/>
          <w:b/>
          <w:bCs/>
          <w:sz w:val="24"/>
          <w:szCs w:val="24"/>
        </w:rPr>
      </w:pPr>
      <w:r w:rsidRPr="000A7763">
        <w:rPr>
          <w:rFonts w:ascii="Times New Roman" w:eastAsia="Calibri" w:hAnsi="Times New Roman" w:cs="Times New Roman"/>
          <w:b/>
          <w:bCs/>
          <w:sz w:val="24"/>
          <w:szCs w:val="24"/>
        </w:rPr>
        <w:t>2.</w:t>
      </w:r>
      <w:r w:rsidRPr="000A7763">
        <w:rPr>
          <w:rFonts w:ascii="Times New Roman" w:eastAsia="Calibri" w:hAnsi="Times New Roman" w:cs="Times New Roman"/>
          <w:b/>
          <w:bCs/>
          <w:sz w:val="24"/>
          <w:szCs w:val="24"/>
        </w:rPr>
        <w:tab/>
      </w:r>
      <w:r w:rsidR="00F651A5">
        <w:rPr>
          <w:rFonts w:ascii="Times New Roman" w:eastAsia="Calibri" w:hAnsi="Times New Roman" w:cs="Times New Roman"/>
          <w:b/>
          <w:bCs/>
          <w:sz w:val="24"/>
          <w:szCs w:val="24"/>
        </w:rPr>
        <w:t>Amendment for a 2025 – 2027 GRAM, Cherokee LNG, and SRR Capital Budget Combine</w:t>
      </w:r>
      <w:r w:rsidR="00D5416E">
        <w:rPr>
          <w:rFonts w:ascii="Times New Roman" w:eastAsia="Calibri" w:hAnsi="Times New Roman" w:cs="Times New Roman"/>
          <w:b/>
          <w:bCs/>
          <w:sz w:val="24"/>
          <w:szCs w:val="24"/>
        </w:rPr>
        <w:t>d</w:t>
      </w:r>
      <w:r w:rsidR="00F651A5">
        <w:rPr>
          <w:rFonts w:ascii="Times New Roman" w:eastAsia="Calibri" w:hAnsi="Times New Roman" w:cs="Times New Roman"/>
          <w:b/>
          <w:bCs/>
          <w:sz w:val="24"/>
          <w:szCs w:val="24"/>
        </w:rPr>
        <w:t xml:space="preserve"> Review Request</w:t>
      </w:r>
    </w:p>
    <w:p w:rsidR="001252DE" w:rsidP="000C4C8D" w14:paraId="596188DA" w14:textId="77777777">
      <w:pPr>
        <w:keepNext/>
        <w:ind w:firstLine="720"/>
        <w:jc w:val="both"/>
        <w:rPr>
          <w:rFonts w:ascii="Times New Roman" w:eastAsia="Calibri" w:hAnsi="Times New Roman" w:cs="Times New Roman"/>
          <w:b/>
          <w:bCs/>
          <w:sz w:val="24"/>
          <w:szCs w:val="24"/>
        </w:rPr>
      </w:pPr>
    </w:p>
    <w:p w:rsidR="00595D6E" w:rsidP="000C4C8D" w14:paraId="2F572D9B" w14:textId="06D09AD2">
      <w:pPr>
        <w:pStyle w:val="ListParagraph"/>
        <w:keepNext/>
        <w:numPr>
          <w:ilvl w:val="0"/>
          <w:numId w:val="7"/>
        </w:numPr>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Combined Capital Budget Review</w:t>
      </w:r>
      <w:r w:rsidRPr="006C5E6D" w:rsidR="004B535F">
        <w:rPr>
          <w:rFonts w:ascii="Times New Roman" w:eastAsia="Calibri" w:hAnsi="Times New Roman" w:cs="Times New Roman"/>
          <w:b/>
          <w:bCs/>
          <w:sz w:val="24"/>
          <w:szCs w:val="24"/>
        </w:rPr>
        <w:tab/>
      </w:r>
    </w:p>
    <w:p w:rsidR="000C4C8D" w:rsidRPr="006C5E6D" w:rsidP="000C4C8D" w14:paraId="1172F474" w14:textId="77777777">
      <w:pPr>
        <w:pStyle w:val="ListParagraph"/>
        <w:keepNext/>
        <w:ind w:left="1080"/>
        <w:jc w:val="both"/>
        <w:rPr>
          <w:rFonts w:ascii="Times New Roman" w:eastAsia="Calibri" w:hAnsi="Times New Roman" w:cs="Times New Roman"/>
          <w:b/>
          <w:bCs/>
          <w:sz w:val="24"/>
          <w:szCs w:val="24"/>
        </w:rPr>
      </w:pPr>
    </w:p>
    <w:p w:rsidR="00784B9B" w:rsidP="006C5E6D" w14:paraId="7F23F192" w14:textId="25E95A7F">
      <w:pPr>
        <w:spacing w:line="48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During the July 2, 2024 Administrative Session, the Commission approved AGL’s 2025 – 2034 i-CDP. This included the approval of the 2025 – 2027 capital budgets. In Table-1 below, the </w:t>
      </w:r>
      <w:r w:rsidR="000B4DC0">
        <w:rPr>
          <w:rFonts w:ascii="Times New Roman" w:eastAsia="Calibri" w:hAnsi="Times New Roman" w:cs="Times New Roman"/>
          <w:sz w:val="24"/>
          <w:szCs w:val="24"/>
        </w:rPr>
        <w:t xml:space="preserve">approved </w:t>
      </w:r>
      <w:r>
        <w:rPr>
          <w:rFonts w:ascii="Times New Roman" w:eastAsia="Calibri" w:hAnsi="Times New Roman" w:cs="Times New Roman"/>
          <w:sz w:val="24"/>
          <w:szCs w:val="24"/>
        </w:rPr>
        <w:t>capital budgets are provided for GRAM, LNG Tracker, and SRR budget</w:t>
      </w:r>
      <w:r w:rsidR="009A2500">
        <w:rPr>
          <w:rFonts w:ascii="Times New Roman" w:eastAsia="Calibri" w:hAnsi="Times New Roman" w:cs="Times New Roman"/>
          <w:sz w:val="24"/>
          <w:szCs w:val="24"/>
        </w:rPr>
        <w:t xml:space="preserve"> categories</w:t>
      </w:r>
      <w:r>
        <w:rPr>
          <w:rFonts w:ascii="Times New Roman" w:eastAsia="Calibri" w:hAnsi="Times New Roman" w:cs="Times New Roman"/>
          <w:sz w:val="24"/>
          <w:szCs w:val="24"/>
        </w:rPr>
        <w:t xml:space="preserve"> taken from Attachment-A of the Final Order. </w:t>
      </w:r>
      <w:r w:rsidR="002A3543">
        <w:rPr>
          <w:rFonts w:ascii="Times New Roman" w:eastAsia="Calibri" w:hAnsi="Times New Roman" w:cs="Times New Roman"/>
          <w:sz w:val="24"/>
          <w:szCs w:val="24"/>
        </w:rPr>
        <w:t>AGL seeks an amendment</w:t>
      </w:r>
      <w:r w:rsidR="004B535F">
        <w:rPr>
          <w:rFonts w:ascii="Times New Roman" w:eastAsia="Calibri" w:hAnsi="Times New Roman" w:cs="Times New Roman"/>
          <w:sz w:val="24"/>
          <w:szCs w:val="24"/>
        </w:rPr>
        <w:t xml:space="preserve"> </w:t>
      </w:r>
      <w:r w:rsidR="00A3519C">
        <w:rPr>
          <w:rFonts w:ascii="Times New Roman" w:eastAsia="Calibri" w:hAnsi="Times New Roman" w:cs="Times New Roman"/>
          <w:sz w:val="24"/>
          <w:szCs w:val="24"/>
        </w:rPr>
        <w:t>for a</w:t>
      </w:r>
      <w:r w:rsidR="004B535F">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00D4410A">
        <w:rPr>
          <w:rFonts w:ascii="Times New Roman" w:eastAsia="Calibri" w:hAnsi="Times New Roman" w:cs="Times New Roman"/>
          <w:sz w:val="24"/>
          <w:szCs w:val="24"/>
        </w:rPr>
        <w:t>2025 – 2027 GRAM</w:t>
      </w:r>
      <w:r w:rsidR="0036256B">
        <w:rPr>
          <w:rFonts w:ascii="Times New Roman" w:eastAsia="Calibri" w:hAnsi="Times New Roman" w:cs="Times New Roman"/>
          <w:sz w:val="24"/>
          <w:szCs w:val="24"/>
        </w:rPr>
        <w:t>, SRR, and</w:t>
      </w:r>
      <w:r w:rsidR="00D4410A">
        <w:rPr>
          <w:rFonts w:ascii="Times New Roman" w:eastAsia="Calibri" w:hAnsi="Times New Roman" w:cs="Times New Roman"/>
          <w:sz w:val="24"/>
          <w:szCs w:val="24"/>
        </w:rPr>
        <w:t xml:space="preserve"> LNG Tracker capital budget </w:t>
      </w:r>
      <w:r w:rsidR="00555D78">
        <w:rPr>
          <w:rFonts w:ascii="Times New Roman" w:eastAsia="Calibri" w:hAnsi="Times New Roman" w:cs="Times New Roman"/>
          <w:sz w:val="24"/>
          <w:szCs w:val="24"/>
        </w:rPr>
        <w:t>combined review</w:t>
      </w:r>
      <w:r w:rsidR="008B726B">
        <w:rPr>
          <w:rFonts w:ascii="Times New Roman" w:eastAsia="Calibri" w:hAnsi="Times New Roman" w:cs="Times New Roman"/>
          <w:sz w:val="24"/>
          <w:szCs w:val="24"/>
        </w:rPr>
        <w:t>.</w:t>
      </w:r>
      <w:r>
        <w:rPr>
          <w:rFonts w:ascii="Times New Roman" w:eastAsia="Calibri" w:hAnsi="Times New Roman" w:cs="Times New Roman"/>
          <w:sz w:val="24"/>
          <w:szCs w:val="24"/>
        </w:rPr>
        <w:t>”</w:t>
      </w:r>
      <w:r w:rsidR="00D4410A">
        <w:rPr>
          <w:rFonts w:ascii="Times New Roman" w:eastAsia="Calibri" w:hAnsi="Times New Roman" w:cs="Times New Roman"/>
          <w:sz w:val="24"/>
          <w:szCs w:val="24"/>
        </w:rPr>
        <w:t xml:space="preserve"> </w:t>
      </w:r>
      <w:r w:rsidR="004B535F">
        <w:rPr>
          <w:rFonts w:ascii="Times New Roman" w:eastAsia="Calibri" w:hAnsi="Times New Roman" w:cs="Times New Roman"/>
          <w:sz w:val="24"/>
          <w:szCs w:val="24"/>
        </w:rPr>
        <w:t xml:space="preserve"> </w:t>
      </w:r>
      <w:r w:rsidR="00C47128">
        <w:rPr>
          <w:rFonts w:ascii="Times New Roman" w:eastAsia="Calibri" w:hAnsi="Times New Roman" w:cs="Times New Roman"/>
          <w:sz w:val="24"/>
          <w:szCs w:val="24"/>
        </w:rPr>
        <w:t xml:space="preserve">The </w:t>
      </w:r>
      <w:r w:rsidR="00A3519C">
        <w:rPr>
          <w:rFonts w:ascii="Times New Roman" w:eastAsia="Calibri" w:hAnsi="Times New Roman" w:cs="Times New Roman"/>
          <w:sz w:val="24"/>
          <w:szCs w:val="24"/>
        </w:rPr>
        <w:t xml:space="preserve">focus </w:t>
      </w:r>
      <w:r w:rsidR="000B4DC0">
        <w:rPr>
          <w:rFonts w:ascii="Times New Roman" w:eastAsia="Calibri" w:hAnsi="Times New Roman" w:cs="Times New Roman"/>
          <w:sz w:val="24"/>
          <w:szCs w:val="24"/>
        </w:rPr>
        <w:t xml:space="preserve">is </w:t>
      </w:r>
      <w:r w:rsidR="00A3519C">
        <w:rPr>
          <w:rFonts w:ascii="Times New Roman" w:eastAsia="Calibri" w:hAnsi="Times New Roman" w:cs="Times New Roman"/>
          <w:sz w:val="24"/>
          <w:szCs w:val="24"/>
        </w:rPr>
        <w:t xml:space="preserve">on combining the total three-year </w:t>
      </w:r>
      <w:r w:rsidR="00C47128">
        <w:rPr>
          <w:rFonts w:ascii="Times New Roman" w:eastAsia="Calibri" w:hAnsi="Times New Roman" w:cs="Times New Roman"/>
          <w:sz w:val="24"/>
          <w:szCs w:val="24"/>
        </w:rPr>
        <w:t>(</w:t>
      </w:r>
      <w:r w:rsidR="00A3519C">
        <w:rPr>
          <w:rFonts w:ascii="Times New Roman" w:eastAsia="Calibri" w:hAnsi="Times New Roman" w:cs="Times New Roman"/>
          <w:sz w:val="24"/>
          <w:szCs w:val="24"/>
        </w:rPr>
        <w:t>2025 – 2027</w:t>
      </w:r>
      <w:r w:rsidR="00C47128">
        <w:rPr>
          <w:rFonts w:ascii="Times New Roman" w:eastAsia="Calibri" w:hAnsi="Times New Roman" w:cs="Times New Roman"/>
          <w:sz w:val="24"/>
          <w:szCs w:val="24"/>
        </w:rPr>
        <w:t>)</w:t>
      </w:r>
      <w:r w:rsidR="00A3519C">
        <w:rPr>
          <w:rFonts w:ascii="Times New Roman" w:eastAsia="Calibri" w:hAnsi="Times New Roman" w:cs="Times New Roman"/>
          <w:sz w:val="24"/>
          <w:szCs w:val="24"/>
        </w:rPr>
        <w:t xml:space="preserve"> </w:t>
      </w:r>
      <w:r w:rsidR="000B4DC0">
        <w:rPr>
          <w:rFonts w:ascii="Times New Roman" w:eastAsia="Calibri" w:hAnsi="Times New Roman" w:cs="Times New Roman"/>
          <w:sz w:val="24"/>
          <w:szCs w:val="24"/>
        </w:rPr>
        <w:t xml:space="preserve">approved </w:t>
      </w:r>
      <w:r w:rsidR="00A3519C">
        <w:rPr>
          <w:rFonts w:ascii="Times New Roman" w:eastAsia="Calibri" w:hAnsi="Times New Roman" w:cs="Times New Roman"/>
          <w:sz w:val="24"/>
          <w:szCs w:val="24"/>
        </w:rPr>
        <w:t>GRAM</w:t>
      </w:r>
      <w:r w:rsidR="0036256B">
        <w:rPr>
          <w:rFonts w:ascii="Times New Roman" w:eastAsia="Calibri" w:hAnsi="Times New Roman" w:cs="Times New Roman"/>
          <w:sz w:val="24"/>
          <w:szCs w:val="24"/>
        </w:rPr>
        <w:t>, SRR, and</w:t>
      </w:r>
      <w:r w:rsidR="00A3519C">
        <w:rPr>
          <w:rFonts w:ascii="Times New Roman" w:eastAsia="Calibri" w:hAnsi="Times New Roman" w:cs="Times New Roman"/>
          <w:sz w:val="24"/>
          <w:szCs w:val="24"/>
        </w:rPr>
        <w:t xml:space="preserve"> LNG Tracker capital budgets to allow any capital spending that exceeds the </w:t>
      </w:r>
      <w:r w:rsidR="001A0D2D">
        <w:rPr>
          <w:rFonts w:ascii="Times New Roman" w:eastAsia="Calibri" w:hAnsi="Times New Roman" w:cs="Times New Roman"/>
          <w:sz w:val="24"/>
          <w:szCs w:val="24"/>
        </w:rPr>
        <w:t xml:space="preserve">3-year </w:t>
      </w:r>
      <w:r w:rsidR="00A3519C">
        <w:rPr>
          <w:rFonts w:ascii="Times New Roman" w:eastAsia="Calibri" w:hAnsi="Times New Roman" w:cs="Times New Roman"/>
          <w:sz w:val="24"/>
          <w:szCs w:val="24"/>
        </w:rPr>
        <w:t xml:space="preserve">LNG Tracker capital budget total to be absorbed by the </w:t>
      </w:r>
      <w:r w:rsidR="001A0D2D">
        <w:rPr>
          <w:rFonts w:ascii="Times New Roman" w:eastAsia="Calibri" w:hAnsi="Times New Roman" w:cs="Times New Roman"/>
          <w:sz w:val="24"/>
          <w:szCs w:val="24"/>
        </w:rPr>
        <w:t xml:space="preserve">3-year </w:t>
      </w:r>
      <w:r w:rsidR="00A3519C">
        <w:rPr>
          <w:rFonts w:ascii="Times New Roman" w:eastAsia="Calibri" w:hAnsi="Times New Roman" w:cs="Times New Roman"/>
          <w:sz w:val="24"/>
          <w:szCs w:val="24"/>
        </w:rPr>
        <w:t xml:space="preserve">GRAM </w:t>
      </w:r>
      <w:r w:rsidR="0036256B">
        <w:rPr>
          <w:rFonts w:ascii="Times New Roman" w:eastAsia="Calibri" w:hAnsi="Times New Roman" w:cs="Times New Roman"/>
          <w:sz w:val="24"/>
          <w:szCs w:val="24"/>
        </w:rPr>
        <w:t xml:space="preserve">and SRR </w:t>
      </w:r>
      <w:r w:rsidR="00A3519C">
        <w:rPr>
          <w:rFonts w:ascii="Times New Roman" w:eastAsia="Calibri" w:hAnsi="Times New Roman" w:cs="Times New Roman"/>
          <w:sz w:val="24"/>
          <w:szCs w:val="24"/>
        </w:rPr>
        <w:t>capital budget</w:t>
      </w:r>
      <w:r w:rsidR="00D4410A">
        <w:rPr>
          <w:rFonts w:ascii="Times New Roman" w:eastAsia="Calibri" w:hAnsi="Times New Roman" w:cs="Times New Roman"/>
          <w:sz w:val="24"/>
          <w:szCs w:val="24"/>
        </w:rPr>
        <w:t xml:space="preserve"> total</w:t>
      </w:r>
      <w:r w:rsidR="00A3519C">
        <w:rPr>
          <w:rFonts w:ascii="Times New Roman" w:eastAsia="Calibri" w:hAnsi="Times New Roman" w:cs="Times New Roman"/>
          <w:sz w:val="24"/>
          <w:szCs w:val="24"/>
        </w:rPr>
        <w:t xml:space="preserve"> no</w:t>
      </w:r>
      <w:r w:rsidR="00D4410A">
        <w:rPr>
          <w:rFonts w:ascii="Times New Roman" w:eastAsia="Calibri" w:hAnsi="Times New Roman" w:cs="Times New Roman"/>
          <w:sz w:val="24"/>
          <w:szCs w:val="24"/>
        </w:rPr>
        <w:t>t</w:t>
      </w:r>
      <w:r w:rsidR="00A3519C">
        <w:rPr>
          <w:rFonts w:ascii="Times New Roman" w:eastAsia="Calibri" w:hAnsi="Times New Roman" w:cs="Times New Roman"/>
          <w:sz w:val="24"/>
          <w:szCs w:val="24"/>
        </w:rPr>
        <w:t xml:space="preserve"> used because of </w:t>
      </w:r>
      <w:r w:rsidR="00C47128">
        <w:rPr>
          <w:rFonts w:ascii="Times New Roman" w:eastAsia="Calibri" w:hAnsi="Times New Roman" w:cs="Times New Roman"/>
          <w:sz w:val="24"/>
          <w:szCs w:val="24"/>
        </w:rPr>
        <w:t xml:space="preserve">projected </w:t>
      </w:r>
      <w:r w:rsidR="00A3519C">
        <w:rPr>
          <w:rFonts w:ascii="Times New Roman" w:eastAsia="Calibri" w:hAnsi="Times New Roman" w:cs="Times New Roman"/>
          <w:sz w:val="24"/>
          <w:szCs w:val="24"/>
        </w:rPr>
        <w:t xml:space="preserve">lower actual GRAM </w:t>
      </w:r>
      <w:r w:rsidR="0036256B">
        <w:rPr>
          <w:rFonts w:ascii="Times New Roman" w:eastAsia="Calibri" w:hAnsi="Times New Roman" w:cs="Times New Roman"/>
          <w:sz w:val="24"/>
          <w:szCs w:val="24"/>
        </w:rPr>
        <w:t xml:space="preserve">and SRR </w:t>
      </w:r>
      <w:r w:rsidR="00A3519C">
        <w:rPr>
          <w:rFonts w:ascii="Times New Roman" w:eastAsia="Calibri" w:hAnsi="Times New Roman" w:cs="Times New Roman"/>
          <w:sz w:val="24"/>
          <w:szCs w:val="24"/>
        </w:rPr>
        <w:t xml:space="preserve">capital spending. </w:t>
      </w:r>
    </w:p>
    <w:p w:rsidR="007F4F14" w:rsidP="00690F0C" w14:paraId="6B94EAB3" w14:textId="0441720A">
      <w:pPr>
        <w:spacing w:line="48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As seen in Table-</w:t>
      </w:r>
      <w:r w:rsidR="0036256B">
        <w:rPr>
          <w:rFonts w:ascii="Times New Roman" w:eastAsia="Calibri" w:hAnsi="Times New Roman" w:cs="Times New Roman"/>
          <w:sz w:val="24"/>
          <w:szCs w:val="24"/>
        </w:rPr>
        <w:t>1</w:t>
      </w:r>
      <w:r>
        <w:rPr>
          <w:rFonts w:ascii="Times New Roman" w:eastAsia="Calibri" w:hAnsi="Times New Roman" w:cs="Times New Roman"/>
          <w:sz w:val="24"/>
          <w:szCs w:val="24"/>
        </w:rPr>
        <w:t xml:space="preserve"> below, the </w:t>
      </w:r>
      <w:r w:rsidR="00E57324">
        <w:rPr>
          <w:rFonts w:ascii="Times New Roman" w:eastAsia="Calibri" w:hAnsi="Times New Roman" w:cs="Times New Roman"/>
          <w:sz w:val="24"/>
          <w:szCs w:val="24"/>
        </w:rPr>
        <w:t xml:space="preserve">approved </w:t>
      </w:r>
      <w:r>
        <w:rPr>
          <w:rFonts w:ascii="Times New Roman" w:eastAsia="Calibri" w:hAnsi="Times New Roman" w:cs="Times New Roman"/>
          <w:sz w:val="24"/>
          <w:szCs w:val="24"/>
        </w:rPr>
        <w:t xml:space="preserve">combined </w:t>
      </w:r>
      <w:r w:rsidR="00D4410A">
        <w:rPr>
          <w:rFonts w:ascii="Times New Roman" w:eastAsia="Calibri" w:hAnsi="Times New Roman" w:cs="Times New Roman"/>
          <w:sz w:val="24"/>
          <w:szCs w:val="24"/>
        </w:rPr>
        <w:t>3-yea</w:t>
      </w:r>
      <w:r w:rsidR="00E57324">
        <w:rPr>
          <w:rFonts w:ascii="Times New Roman" w:eastAsia="Calibri" w:hAnsi="Times New Roman" w:cs="Times New Roman"/>
          <w:sz w:val="24"/>
          <w:szCs w:val="24"/>
        </w:rPr>
        <w:t>r</w:t>
      </w:r>
      <w:r w:rsidR="00D4410A">
        <w:rPr>
          <w:rFonts w:ascii="Times New Roman" w:eastAsia="Calibri" w:hAnsi="Times New Roman" w:cs="Times New Roman"/>
          <w:sz w:val="24"/>
          <w:szCs w:val="24"/>
        </w:rPr>
        <w:t xml:space="preserve"> </w:t>
      </w:r>
      <w:r w:rsidR="00E57324">
        <w:rPr>
          <w:rFonts w:ascii="Times New Roman" w:eastAsia="Calibri" w:hAnsi="Times New Roman" w:cs="Times New Roman"/>
          <w:sz w:val="24"/>
          <w:szCs w:val="24"/>
        </w:rPr>
        <w:t xml:space="preserve">capital budgets </w:t>
      </w:r>
      <w:r w:rsidR="00D4410A">
        <w:rPr>
          <w:rFonts w:ascii="Times New Roman" w:eastAsia="Calibri" w:hAnsi="Times New Roman" w:cs="Times New Roman"/>
          <w:sz w:val="24"/>
          <w:szCs w:val="24"/>
        </w:rPr>
        <w:t>between GRAM</w:t>
      </w:r>
      <w:r w:rsidR="0036256B">
        <w:rPr>
          <w:rFonts w:ascii="Times New Roman" w:eastAsia="Calibri" w:hAnsi="Times New Roman" w:cs="Times New Roman"/>
          <w:sz w:val="24"/>
          <w:szCs w:val="24"/>
        </w:rPr>
        <w:t>, SRR,</w:t>
      </w:r>
      <w:r w:rsidR="00D4410A">
        <w:rPr>
          <w:rFonts w:ascii="Times New Roman" w:eastAsia="Calibri" w:hAnsi="Times New Roman" w:cs="Times New Roman"/>
          <w:sz w:val="24"/>
          <w:szCs w:val="24"/>
        </w:rPr>
        <w:t xml:space="preserve"> and the LNG Tracker is $1.</w:t>
      </w:r>
      <w:r w:rsidR="0036256B">
        <w:rPr>
          <w:rFonts w:ascii="Times New Roman" w:eastAsia="Calibri" w:hAnsi="Times New Roman" w:cs="Times New Roman"/>
          <w:sz w:val="24"/>
          <w:szCs w:val="24"/>
        </w:rPr>
        <w:t>8</w:t>
      </w:r>
      <w:r w:rsidR="006C5E6D">
        <w:rPr>
          <w:rFonts w:ascii="Times New Roman" w:eastAsia="Calibri" w:hAnsi="Times New Roman" w:cs="Times New Roman"/>
          <w:sz w:val="24"/>
          <w:szCs w:val="24"/>
        </w:rPr>
        <w:t>7</w:t>
      </w:r>
      <w:r w:rsidR="00D4410A">
        <w:rPr>
          <w:rFonts w:ascii="Times New Roman" w:eastAsia="Calibri" w:hAnsi="Times New Roman" w:cs="Times New Roman"/>
          <w:sz w:val="24"/>
          <w:szCs w:val="24"/>
        </w:rPr>
        <w:t xml:space="preserve"> billion</w:t>
      </w:r>
      <w:r w:rsidR="00784B9B">
        <w:rPr>
          <w:rFonts w:ascii="Times New Roman" w:eastAsia="Calibri" w:hAnsi="Times New Roman" w:cs="Times New Roman"/>
          <w:sz w:val="24"/>
          <w:szCs w:val="24"/>
        </w:rPr>
        <w:t>. T</w:t>
      </w:r>
      <w:r w:rsidR="005156A1">
        <w:rPr>
          <w:rFonts w:ascii="Times New Roman" w:eastAsia="Calibri" w:hAnsi="Times New Roman" w:cs="Times New Roman"/>
          <w:sz w:val="24"/>
          <w:szCs w:val="24"/>
        </w:rPr>
        <w:t>he</w:t>
      </w:r>
      <w:r w:rsidR="00784B9B">
        <w:rPr>
          <w:rFonts w:ascii="Times New Roman" w:eastAsia="Calibri" w:hAnsi="Times New Roman" w:cs="Times New Roman"/>
          <w:sz w:val="24"/>
          <w:szCs w:val="24"/>
        </w:rPr>
        <w:t xml:space="preserve"> </w:t>
      </w:r>
      <w:r w:rsidR="00C47128">
        <w:rPr>
          <w:rFonts w:ascii="Times New Roman" w:eastAsia="Calibri" w:hAnsi="Times New Roman" w:cs="Times New Roman"/>
          <w:sz w:val="24"/>
          <w:szCs w:val="24"/>
        </w:rPr>
        <w:t>combined</w:t>
      </w:r>
      <w:r w:rsidR="00D4410A">
        <w:rPr>
          <w:rFonts w:ascii="Times New Roman" w:eastAsia="Calibri" w:hAnsi="Times New Roman" w:cs="Times New Roman"/>
          <w:sz w:val="24"/>
          <w:szCs w:val="24"/>
        </w:rPr>
        <w:t xml:space="preserve"> </w:t>
      </w:r>
      <w:r w:rsidR="00E57324">
        <w:rPr>
          <w:rFonts w:ascii="Times New Roman" w:eastAsia="Calibri" w:hAnsi="Times New Roman" w:cs="Times New Roman"/>
          <w:sz w:val="24"/>
          <w:szCs w:val="24"/>
        </w:rPr>
        <w:t xml:space="preserve">actual </w:t>
      </w:r>
      <w:r w:rsidR="00D4410A">
        <w:rPr>
          <w:rFonts w:ascii="Times New Roman" w:eastAsia="Calibri" w:hAnsi="Times New Roman" w:cs="Times New Roman"/>
          <w:sz w:val="24"/>
          <w:szCs w:val="24"/>
        </w:rPr>
        <w:t xml:space="preserve">capital </w:t>
      </w:r>
      <w:r w:rsidR="00E57324">
        <w:rPr>
          <w:rFonts w:ascii="Times New Roman" w:eastAsia="Calibri" w:hAnsi="Times New Roman" w:cs="Times New Roman"/>
          <w:sz w:val="24"/>
          <w:szCs w:val="24"/>
        </w:rPr>
        <w:t>spending</w:t>
      </w:r>
      <w:r w:rsidR="00D4410A">
        <w:rPr>
          <w:rFonts w:ascii="Times New Roman" w:eastAsia="Calibri" w:hAnsi="Times New Roman" w:cs="Times New Roman"/>
          <w:sz w:val="24"/>
          <w:szCs w:val="24"/>
        </w:rPr>
        <w:t xml:space="preserve"> from the GRAM</w:t>
      </w:r>
      <w:r w:rsidR="00E57324">
        <w:rPr>
          <w:rFonts w:ascii="Times New Roman" w:eastAsia="Calibri" w:hAnsi="Times New Roman" w:cs="Times New Roman"/>
          <w:sz w:val="24"/>
          <w:szCs w:val="24"/>
        </w:rPr>
        <w:t xml:space="preserve">, </w:t>
      </w:r>
      <w:r w:rsidR="0036256B">
        <w:rPr>
          <w:rFonts w:ascii="Times New Roman" w:eastAsia="Calibri" w:hAnsi="Times New Roman" w:cs="Times New Roman"/>
          <w:sz w:val="24"/>
          <w:szCs w:val="24"/>
        </w:rPr>
        <w:t>SRR</w:t>
      </w:r>
      <w:r w:rsidR="00E57324">
        <w:rPr>
          <w:rFonts w:ascii="Times New Roman" w:eastAsia="Calibri" w:hAnsi="Times New Roman" w:cs="Times New Roman"/>
          <w:sz w:val="24"/>
          <w:szCs w:val="24"/>
        </w:rPr>
        <w:t>, and the</w:t>
      </w:r>
      <w:r w:rsidR="00D4410A">
        <w:rPr>
          <w:rFonts w:ascii="Times New Roman" w:eastAsia="Calibri" w:hAnsi="Times New Roman" w:cs="Times New Roman"/>
          <w:sz w:val="24"/>
          <w:szCs w:val="24"/>
        </w:rPr>
        <w:t xml:space="preserve"> Cherokee LNG Tracker </w:t>
      </w:r>
      <w:r w:rsidR="00784B9B">
        <w:rPr>
          <w:rFonts w:ascii="Times New Roman" w:eastAsia="Calibri" w:hAnsi="Times New Roman" w:cs="Times New Roman"/>
          <w:sz w:val="24"/>
          <w:szCs w:val="24"/>
        </w:rPr>
        <w:t xml:space="preserve">shall not </w:t>
      </w:r>
      <w:r w:rsidR="00D4410A">
        <w:rPr>
          <w:rFonts w:ascii="Times New Roman" w:eastAsia="Calibri" w:hAnsi="Times New Roman" w:cs="Times New Roman"/>
          <w:sz w:val="24"/>
          <w:szCs w:val="24"/>
        </w:rPr>
        <w:t>exceed the approved combined three-year total</w:t>
      </w:r>
      <w:r w:rsidR="0036256B">
        <w:rPr>
          <w:rFonts w:ascii="Times New Roman" w:eastAsia="Calibri" w:hAnsi="Times New Roman" w:cs="Times New Roman"/>
          <w:sz w:val="24"/>
          <w:szCs w:val="24"/>
        </w:rPr>
        <w:t xml:space="preserve"> of the three capital budgets</w:t>
      </w:r>
      <w:r w:rsidR="00D4410A">
        <w:rPr>
          <w:rFonts w:ascii="Times New Roman" w:eastAsia="Calibri" w:hAnsi="Times New Roman" w:cs="Times New Roman"/>
          <w:sz w:val="24"/>
          <w:szCs w:val="24"/>
        </w:rPr>
        <w:t xml:space="preserve">. </w:t>
      </w:r>
    </w:p>
    <w:tbl>
      <w:tblPr>
        <w:tblW w:w="9520" w:type="dxa"/>
        <w:tblLook w:val="04A0"/>
      </w:tblPr>
      <w:tblGrid>
        <w:gridCol w:w="4596"/>
        <w:gridCol w:w="866"/>
        <w:gridCol w:w="866"/>
        <w:gridCol w:w="120"/>
        <w:gridCol w:w="840"/>
        <w:gridCol w:w="120"/>
        <w:gridCol w:w="960"/>
        <w:gridCol w:w="20"/>
        <w:gridCol w:w="1140"/>
      </w:tblGrid>
      <w:tr w14:paraId="0796E839" w14:textId="77777777" w:rsidTr="006C5E6D">
        <w:tblPrEx>
          <w:tblW w:w="9520" w:type="dxa"/>
          <w:tblLook w:val="04A0"/>
        </w:tblPrEx>
        <w:trPr>
          <w:gridAfter w:val="1"/>
          <w:wAfter w:w="1140" w:type="dxa"/>
          <w:trHeight w:val="264"/>
        </w:trPr>
        <w:tc>
          <w:tcPr>
            <w:tcW w:w="6320" w:type="dxa"/>
            <w:gridSpan w:val="3"/>
            <w:tcBorders>
              <w:top w:val="nil"/>
              <w:left w:val="nil"/>
              <w:bottom w:val="nil"/>
              <w:right w:val="nil"/>
            </w:tcBorders>
            <w:noWrap/>
            <w:vAlign w:val="bottom"/>
            <w:hideMark/>
          </w:tcPr>
          <w:p w:rsidR="009B18BA" w:rsidRPr="006C5E6D" w:rsidP="009B18BA" w14:paraId="4E366BEB" w14:textId="77777777">
            <w:pPr>
              <w:rPr>
                <w:rFonts w:ascii="Times New Roman" w:eastAsia="Times New Roman" w:hAnsi="Times New Roman" w:cs="Times New Roman"/>
                <w:b/>
                <w:bCs/>
                <w:sz w:val="20"/>
                <w:szCs w:val="20"/>
              </w:rPr>
            </w:pPr>
            <w:r w:rsidRPr="006C5E6D">
              <w:rPr>
                <w:rFonts w:ascii="Times New Roman" w:eastAsia="Times New Roman" w:hAnsi="Times New Roman" w:cs="Times New Roman"/>
                <w:b/>
                <w:bCs/>
                <w:sz w:val="20"/>
                <w:szCs w:val="20"/>
              </w:rPr>
              <w:t>Table-1: I-CDP 2025 - 2034 i-CDP Capital Budgets (in millions)</w:t>
            </w:r>
          </w:p>
        </w:tc>
        <w:tc>
          <w:tcPr>
            <w:tcW w:w="960" w:type="dxa"/>
            <w:gridSpan w:val="2"/>
            <w:tcBorders>
              <w:top w:val="nil"/>
              <w:left w:val="nil"/>
              <w:bottom w:val="nil"/>
              <w:right w:val="nil"/>
            </w:tcBorders>
            <w:noWrap/>
            <w:vAlign w:val="bottom"/>
            <w:hideMark/>
          </w:tcPr>
          <w:p w:rsidR="009B18BA" w:rsidRPr="006C5E6D" w:rsidP="009B18BA" w14:paraId="18D6E499" w14:textId="77777777">
            <w:pPr>
              <w:rPr>
                <w:rFonts w:ascii="Times New Roman" w:eastAsia="Times New Roman" w:hAnsi="Times New Roman" w:cs="Times New Roman"/>
                <w:b/>
                <w:bCs/>
                <w:sz w:val="20"/>
                <w:szCs w:val="20"/>
              </w:rPr>
            </w:pPr>
          </w:p>
        </w:tc>
        <w:tc>
          <w:tcPr>
            <w:tcW w:w="1100" w:type="dxa"/>
            <w:gridSpan w:val="3"/>
            <w:tcBorders>
              <w:top w:val="nil"/>
              <w:left w:val="nil"/>
              <w:bottom w:val="nil"/>
              <w:right w:val="nil"/>
            </w:tcBorders>
            <w:noWrap/>
            <w:vAlign w:val="bottom"/>
            <w:hideMark/>
          </w:tcPr>
          <w:p w:rsidR="009B18BA" w:rsidRPr="00E34E74" w:rsidP="009B18BA" w14:paraId="070C8D57" w14:textId="77777777">
            <w:pPr>
              <w:rPr>
                <w:rFonts w:ascii="Times New Roman" w:eastAsia="Times New Roman" w:hAnsi="Times New Roman" w:cs="Times New Roman"/>
                <w:sz w:val="20"/>
                <w:szCs w:val="20"/>
              </w:rPr>
            </w:pPr>
          </w:p>
        </w:tc>
      </w:tr>
      <w:tr w14:paraId="346C43B9" w14:textId="77777777" w:rsidTr="006C5E6D">
        <w:tblPrEx>
          <w:tblW w:w="9520" w:type="dxa"/>
          <w:tblLook w:val="04A0"/>
        </w:tblPrEx>
        <w:trPr>
          <w:gridAfter w:val="1"/>
          <w:wAfter w:w="1140" w:type="dxa"/>
          <w:trHeight w:val="264"/>
        </w:trPr>
        <w:tc>
          <w:tcPr>
            <w:tcW w:w="4596" w:type="dxa"/>
            <w:tcBorders>
              <w:top w:val="nil"/>
              <w:left w:val="nil"/>
              <w:bottom w:val="nil"/>
              <w:right w:val="nil"/>
            </w:tcBorders>
            <w:noWrap/>
            <w:vAlign w:val="bottom"/>
            <w:hideMark/>
          </w:tcPr>
          <w:p w:rsidR="009B18BA" w:rsidRPr="006C5E6D" w:rsidP="009B18BA" w14:paraId="43578D3A" w14:textId="77777777">
            <w:pPr>
              <w:rPr>
                <w:rFonts w:ascii="Times New Roman" w:eastAsia="Times New Roman" w:hAnsi="Times New Roman" w:cs="Times New Roman"/>
                <w:b/>
                <w:bCs/>
                <w:sz w:val="20"/>
                <w:szCs w:val="20"/>
              </w:rPr>
            </w:pPr>
            <w:r w:rsidRPr="006C5E6D">
              <w:rPr>
                <w:rFonts w:ascii="Times New Roman" w:eastAsia="Times New Roman" w:hAnsi="Times New Roman" w:cs="Times New Roman"/>
                <w:b/>
                <w:bCs/>
                <w:sz w:val="20"/>
                <w:szCs w:val="20"/>
              </w:rPr>
              <w:t xml:space="preserve"> </w:t>
            </w:r>
          </w:p>
        </w:tc>
        <w:tc>
          <w:tcPr>
            <w:tcW w:w="862" w:type="dxa"/>
            <w:tcBorders>
              <w:top w:val="nil"/>
              <w:left w:val="nil"/>
              <w:bottom w:val="nil"/>
              <w:right w:val="nil"/>
            </w:tcBorders>
            <w:vAlign w:val="center"/>
            <w:hideMark/>
          </w:tcPr>
          <w:p w:rsidR="009B18BA" w:rsidRPr="006C5E6D" w:rsidP="009B18BA" w14:paraId="10D1BE98" w14:textId="77777777">
            <w:pPr>
              <w:jc w:val="center"/>
              <w:rPr>
                <w:rFonts w:ascii="Times New Roman" w:eastAsia="Times New Roman" w:hAnsi="Times New Roman" w:cs="Times New Roman"/>
                <w:b/>
                <w:bCs/>
                <w:sz w:val="20"/>
                <w:szCs w:val="20"/>
              </w:rPr>
            </w:pPr>
            <w:r w:rsidRPr="006C5E6D">
              <w:rPr>
                <w:rFonts w:ascii="Times New Roman" w:eastAsia="Times New Roman" w:hAnsi="Times New Roman" w:cs="Times New Roman"/>
                <w:b/>
                <w:bCs/>
                <w:sz w:val="20"/>
                <w:szCs w:val="20"/>
              </w:rPr>
              <w:t>2025</w:t>
            </w:r>
          </w:p>
        </w:tc>
        <w:tc>
          <w:tcPr>
            <w:tcW w:w="862" w:type="dxa"/>
            <w:tcBorders>
              <w:top w:val="nil"/>
              <w:left w:val="nil"/>
              <w:bottom w:val="nil"/>
              <w:right w:val="nil"/>
            </w:tcBorders>
            <w:vAlign w:val="center"/>
            <w:hideMark/>
          </w:tcPr>
          <w:p w:rsidR="009B18BA" w:rsidRPr="006C5E6D" w:rsidP="009B18BA" w14:paraId="59897C7F" w14:textId="77777777">
            <w:pPr>
              <w:jc w:val="center"/>
              <w:rPr>
                <w:rFonts w:ascii="Times New Roman" w:eastAsia="Times New Roman" w:hAnsi="Times New Roman" w:cs="Times New Roman"/>
                <w:b/>
                <w:bCs/>
                <w:sz w:val="20"/>
                <w:szCs w:val="20"/>
              </w:rPr>
            </w:pPr>
            <w:r w:rsidRPr="006C5E6D">
              <w:rPr>
                <w:rFonts w:ascii="Times New Roman" w:eastAsia="Times New Roman" w:hAnsi="Times New Roman" w:cs="Times New Roman"/>
                <w:b/>
                <w:bCs/>
                <w:sz w:val="20"/>
                <w:szCs w:val="20"/>
              </w:rPr>
              <w:t>2026</w:t>
            </w:r>
          </w:p>
        </w:tc>
        <w:tc>
          <w:tcPr>
            <w:tcW w:w="960" w:type="dxa"/>
            <w:gridSpan w:val="2"/>
            <w:tcBorders>
              <w:top w:val="nil"/>
              <w:left w:val="nil"/>
              <w:bottom w:val="nil"/>
              <w:right w:val="nil"/>
            </w:tcBorders>
            <w:vAlign w:val="center"/>
            <w:hideMark/>
          </w:tcPr>
          <w:p w:rsidR="009B18BA" w:rsidRPr="006C5E6D" w:rsidP="009B18BA" w14:paraId="0A7A0595" w14:textId="77777777">
            <w:pPr>
              <w:jc w:val="center"/>
              <w:rPr>
                <w:rFonts w:ascii="Times New Roman" w:eastAsia="Times New Roman" w:hAnsi="Times New Roman" w:cs="Times New Roman"/>
                <w:b/>
                <w:bCs/>
                <w:sz w:val="20"/>
                <w:szCs w:val="20"/>
              </w:rPr>
            </w:pPr>
            <w:r w:rsidRPr="006C5E6D">
              <w:rPr>
                <w:rFonts w:ascii="Times New Roman" w:eastAsia="Times New Roman" w:hAnsi="Times New Roman" w:cs="Times New Roman"/>
                <w:b/>
                <w:bCs/>
                <w:sz w:val="20"/>
                <w:szCs w:val="20"/>
              </w:rPr>
              <w:t>2027</w:t>
            </w:r>
          </w:p>
        </w:tc>
        <w:tc>
          <w:tcPr>
            <w:tcW w:w="1100" w:type="dxa"/>
            <w:gridSpan w:val="3"/>
            <w:tcBorders>
              <w:top w:val="nil"/>
              <w:left w:val="nil"/>
              <w:bottom w:val="nil"/>
              <w:right w:val="nil"/>
            </w:tcBorders>
            <w:noWrap/>
            <w:vAlign w:val="bottom"/>
            <w:hideMark/>
          </w:tcPr>
          <w:p w:rsidR="009B18BA" w:rsidRPr="006C5E6D" w:rsidP="009B18BA" w14:paraId="0634D8C2" w14:textId="77777777">
            <w:pPr>
              <w:jc w:val="center"/>
              <w:rPr>
                <w:rFonts w:ascii="Times New Roman" w:eastAsia="Times New Roman" w:hAnsi="Times New Roman" w:cs="Times New Roman"/>
                <w:b/>
                <w:bCs/>
                <w:sz w:val="20"/>
                <w:szCs w:val="20"/>
              </w:rPr>
            </w:pPr>
            <w:r w:rsidRPr="006C5E6D">
              <w:rPr>
                <w:rFonts w:ascii="Times New Roman" w:eastAsia="Times New Roman" w:hAnsi="Times New Roman" w:cs="Times New Roman"/>
                <w:b/>
                <w:bCs/>
                <w:sz w:val="20"/>
                <w:szCs w:val="20"/>
              </w:rPr>
              <w:t>Total</w:t>
            </w:r>
          </w:p>
        </w:tc>
      </w:tr>
      <w:tr w14:paraId="61BD20F7" w14:textId="77777777" w:rsidTr="006C5E6D">
        <w:tblPrEx>
          <w:tblW w:w="9520" w:type="dxa"/>
          <w:tblLook w:val="04A0"/>
        </w:tblPrEx>
        <w:trPr>
          <w:gridAfter w:val="1"/>
          <w:wAfter w:w="1140" w:type="dxa"/>
          <w:trHeight w:val="264"/>
        </w:trPr>
        <w:tc>
          <w:tcPr>
            <w:tcW w:w="4596" w:type="dxa"/>
            <w:tcBorders>
              <w:top w:val="single" w:sz="4" w:space="0" w:color="auto"/>
              <w:left w:val="single" w:sz="4" w:space="0" w:color="auto"/>
              <w:bottom w:val="single" w:sz="4" w:space="0" w:color="auto"/>
              <w:right w:val="single" w:sz="4" w:space="0" w:color="auto"/>
            </w:tcBorders>
            <w:noWrap/>
            <w:vAlign w:val="center"/>
            <w:hideMark/>
          </w:tcPr>
          <w:p w:rsidR="009B18BA" w:rsidRPr="006C5E6D" w:rsidP="009B18BA" w14:paraId="386EE15B" w14:textId="77777777">
            <w:pPr>
              <w:rPr>
                <w:rFonts w:ascii="Times New Roman" w:eastAsia="Times New Roman" w:hAnsi="Times New Roman" w:cs="Times New Roman"/>
                <w:b/>
                <w:bCs/>
                <w:sz w:val="20"/>
                <w:szCs w:val="20"/>
              </w:rPr>
            </w:pPr>
            <w:r w:rsidRPr="006C5E6D">
              <w:rPr>
                <w:rFonts w:ascii="Times New Roman" w:eastAsia="Times New Roman" w:hAnsi="Times New Roman" w:cs="Times New Roman"/>
                <w:b/>
                <w:bCs/>
                <w:sz w:val="20"/>
                <w:szCs w:val="20"/>
              </w:rPr>
              <w:t> </w:t>
            </w:r>
          </w:p>
        </w:tc>
        <w:tc>
          <w:tcPr>
            <w:tcW w:w="862" w:type="dxa"/>
            <w:tcBorders>
              <w:top w:val="single" w:sz="4" w:space="0" w:color="auto"/>
              <w:left w:val="nil"/>
              <w:bottom w:val="single" w:sz="4" w:space="0" w:color="auto"/>
              <w:right w:val="single" w:sz="4" w:space="0" w:color="auto"/>
            </w:tcBorders>
            <w:noWrap/>
            <w:vAlign w:val="center"/>
            <w:hideMark/>
          </w:tcPr>
          <w:p w:rsidR="009B18BA" w:rsidRPr="006C5E6D" w:rsidP="009B18BA" w14:paraId="10C82F09" w14:textId="77777777">
            <w:pPr>
              <w:rPr>
                <w:rFonts w:ascii="Times New Roman" w:eastAsia="Times New Roman" w:hAnsi="Times New Roman" w:cs="Times New Roman"/>
                <w:color w:val="000000"/>
                <w:sz w:val="20"/>
                <w:szCs w:val="20"/>
              </w:rPr>
            </w:pPr>
            <w:r w:rsidRPr="006C5E6D">
              <w:rPr>
                <w:rFonts w:ascii="Times New Roman" w:eastAsia="Times New Roman" w:hAnsi="Times New Roman" w:cs="Times New Roman"/>
                <w:color w:val="000000"/>
                <w:sz w:val="20"/>
                <w:szCs w:val="20"/>
              </w:rPr>
              <w:t> </w:t>
            </w:r>
          </w:p>
        </w:tc>
        <w:tc>
          <w:tcPr>
            <w:tcW w:w="862" w:type="dxa"/>
            <w:tcBorders>
              <w:top w:val="single" w:sz="4" w:space="0" w:color="auto"/>
              <w:left w:val="nil"/>
              <w:bottom w:val="single" w:sz="4" w:space="0" w:color="auto"/>
              <w:right w:val="single" w:sz="4" w:space="0" w:color="auto"/>
            </w:tcBorders>
            <w:noWrap/>
            <w:vAlign w:val="center"/>
            <w:hideMark/>
          </w:tcPr>
          <w:p w:rsidR="009B18BA" w:rsidRPr="006C5E6D" w:rsidP="009B18BA" w14:paraId="6AC130FA" w14:textId="77777777">
            <w:pPr>
              <w:rPr>
                <w:rFonts w:ascii="Times New Roman" w:eastAsia="Times New Roman" w:hAnsi="Times New Roman" w:cs="Times New Roman"/>
                <w:color w:val="000000"/>
                <w:sz w:val="20"/>
                <w:szCs w:val="20"/>
              </w:rPr>
            </w:pPr>
            <w:r w:rsidRPr="006C5E6D">
              <w:rPr>
                <w:rFonts w:ascii="Times New Roman" w:eastAsia="Times New Roman" w:hAnsi="Times New Roman" w:cs="Times New Roman"/>
                <w:color w:val="000000"/>
                <w:sz w:val="20"/>
                <w:szCs w:val="20"/>
              </w:rPr>
              <w:t> </w:t>
            </w:r>
          </w:p>
        </w:tc>
        <w:tc>
          <w:tcPr>
            <w:tcW w:w="960" w:type="dxa"/>
            <w:gridSpan w:val="2"/>
            <w:tcBorders>
              <w:top w:val="single" w:sz="4" w:space="0" w:color="auto"/>
              <w:left w:val="nil"/>
              <w:bottom w:val="single" w:sz="4" w:space="0" w:color="auto"/>
              <w:right w:val="single" w:sz="4" w:space="0" w:color="auto"/>
            </w:tcBorders>
            <w:noWrap/>
            <w:vAlign w:val="center"/>
            <w:hideMark/>
          </w:tcPr>
          <w:p w:rsidR="009B18BA" w:rsidRPr="006C5E6D" w:rsidP="009B18BA" w14:paraId="1080D651" w14:textId="77777777">
            <w:pPr>
              <w:rPr>
                <w:rFonts w:ascii="Times New Roman" w:eastAsia="Times New Roman" w:hAnsi="Times New Roman" w:cs="Times New Roman"/>
                <w:color w:val="000000"/>
                <w:sz w:val="20"/>
                <w:szCs w:val="20"/>
              </w:rPr>
            </w:pPr>
            <w:r w:rsidRPr="006C5E6D">
              <w:rPr>
                <w:rFonts w:ascii="Times New Roman" w:eastAsia="Times New Roman" w:hAnsi="Times New Roman" w:cs="Times New Roman"/>
                <w:color w:val="000000"/>
                <w:sz w:val="20"/>
                <w:szCs w:val="20"/>
              </w:rPr>
              <w:t> </w:t>
            </w:r>
          </w:p>
        </w:tc>
        <w:tc>
          <w:tcPr>
            <w:tcW w:w="1100" w:type="dxa"/>
            <w:gridSpan w:val="3"/>
            <w:tcBorders>
              <w:top w:val="single" w:sz="4" w:space="0" w:color="auto"/>
              <w:left w:val="nil"/>
              <w:bottom w:val="single" w:sz="4" w:space="0" w:color="auto"/>
              <w:right w:val="single" w:sz="4" w:space="0" w:color="auto"/>
            </w:tcBorders>
            <w:noWrap/>
            <w:vAlign w:val="center"/>
            <w:hideMark/>
          </w:tcPr>
          <w:p w:rsidR="009B18BA" w:rsidRPr="006C5E6D" w:rsidP="009B18BA" w14:paraId="39AA9FB1" w14:textId="77777777">
            <w:pPr>
              <w:rPr>
                <w:rFonts w:ascii="Times New Roman" w:eastAsia="Times New Roman" w:hAnsi="Times New Roman" w:cs="Times New Roman"/>
                <w:color w:val="000000"/>
                <w:sz w:val="20"/>
                <w:szCs w:val="20"/>
              </w:rPr>
            </w:pPr>
            <w:r w:rsidRPr="006C5E6D">
              <w:rPr>
                <w:rFonts w:ascii="Times New Roman" w:eastAsia="Times New Roman" w:hAnsi="Times New Roman" w:cs="Times New Roman"/>
                <w:color w:val="000000"/>
                <w:sz w:val="20"/>
                <w:szCs w:val="20"/>
              </w:rPr>
              <w:t> </w:t>
            </w:r>
          </w:p>
        </w:tc>
      </w:tr>
      <w:tr w14:paraId="6432F248" w14:textId="77777777" w:rsidTr="006C5E6D">
        <w:tblPrEx>
          <w:tblW w:w="9520" w:type="dxa"/>
          <w:tblLook w:val="04A0"/>
        </w:tblPrEx>
        <w:trPr>
          <w:gridAfter w:val="1"/>
          <w:wAfter w:w="1140" w:type="dxa"/>
          <w:trHeight w:val="264"/>
        </w:trPr>
        <w:tc>
          <w:tcPr>
            <w:tcW w:w="4596" w:type="dxa"/>
            <w:tcBorders>
              <w:top w:val="nil"/>
              <w:left w:val="single" w:sz="4" w:space="0" w:color="auto"/>
              <w:bottom w:val="single" w:sz="4" w:space="0" w:color="auto"/>
              <w:right w:val="single" w:sz="4" w:space="0" w:color="auto"/>
            </w:tcBorders>
            <w:noWrap/>
            <w:vAlign w:val="center"/>
            <w:hideMark/>
          </w:tcPr>
          <w:p w:rsidR="009B18BA" w:rsidRPr="006C5E6D" w:rsidP="009B18BA" w14:paraId="2FA69180" w14:textId="77777777">
            <w:pPr>
              <w:rPr>
                <w:rFonts w:ascii="Times New Roman" w:eastAsia="Times New Roman" w:hAnsi="Times New Roman" w:cs="Times New Roman"/>
                <w:color w:val="000000"/>
                <w:sz w:val="20"/>
                <w:szCs w:val="20"/>
              </w:rPr>
            </w:pPr>
            <w:r w:rsidRPr="006C5E6D">
              <w:rPr>
                <w:rFonts w:ascii="Times New Roman" w:eastAsia="Times New Roman" w:hAnsi="Times New Roman" w:cs="Times New Roman"/>
                <w:color w:val="000000"/>
                <w:sz w:val="20"/>
                <w:szCs w:val="20"/>
              </w:rPr>
              <w:t>GRAM - Safety &amp; Compliance (GRAM-S&amp;C)</w:t>
            </w:r>
          </w:p>
        </w:tc>
        <w:tc>
          <w:tcPr>
            <w:tcW w:w="862" w:type="dxa"/>
            <w:tcBorders>
              <w:top w:val="nil"/>
              <w:left w:val="nil"/>
              <w:bottom w:val="single" w:sz="4" w:space="0" w:color="auto"/>
              <w:right w:val="single" w:sz="4" w:space="0" w:color="auto"/>
            </w:tcBorders>
            <w:noWrap/>
            <w:vAlign w:val="center"/>
            <w:hideMark/>
          </w:tcPr>
          <w:p w:rsidR="009B18BA" w:rsidRPr="006C5E6D" w:rsidP="009B18BA" w14:paraId="2428B950" w14:textId="77777777">
            <w:pPr>
              <w:jc w:val="right"/>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 xml:space="preserve">$128.10 </w:t>
            </w:r>
          </w:p>
        </w:tc>
        <w:tc>
          <w:tcPr>
            <w:tcW w:w="862" w:type="dxa"/>
            <w:tcBorders>
              <w:top w:val="nil"/>
              <w:left w:val="nil"/>
              <w:bottom w:val="single" w:sz="4" w:space="0" w:color="auto"/>
              <w:right w:val="single" w:sz="4" w:space="0" w:color="auto"/>
            </w:tcBorders>
            <w:noWrap/>
            <w:vAlign w:val="center"/>
            <w:hideMark/>
          </w:tcPr>
          <w:p w:rsidR="009B18BA" w:rsidRPr="006C5E6D" w:rsidP="009B18BA" w14:paraId="4959F56C" w14:textId="77777777">
            <w:pPr>
              <w:jc w:val="right"/>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 xml:space="preserve">$167.10 </w:t>
            </w:r>
          </w:p>
        </w:tc>
        <w:tc>
          <w:tcPr>
            <w:tcW w:w="960" w:type="dxa"/>
            <w:gridSpan w:val="2"/>
            <w:tcBorders>
              <w:top w:val="nil"/>
              <w:left w:val="nil"/>
              <w:bottom w:val="single" w:sz="4" w:space="0" w:color="auto"/>
              <w:right w:val="single" w:sz="4" w:space="0" w:color="auto"/>
            </w:tcBorders>
            <w:noWrap/>
            <w:vAlign w:val="center"/>
            <w:hideMark/>
          </w:tcPr>
          <w:p w:rsidR="009B18BA" w:rsidRPr="006C5E6D" w:rsidP="009B18BA" w14:paraId="1B291564" w14:textId="77777777">
            <w:pPr>
              <w:jc w:val="right"/>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 xml:space="preserve">$177.60 </w:t>
            </w:r>
          </w:p>
        </w:tc>
        <w:tc>
          <w:tcPr>
            <w:tcW w:w="1100" w:type="dxa"/>
            <w:gridSpan w:val="3"/>
            <w:tcBorders>
              <w:top w:val="nil"/>
              <w:left w:val="nil"/>
              <w:bottom w:val="single" w:sz="4" w:space="0" w:color="auto"/>
              <w:right w:val="single" w:sz="4" w:space="0" w:color="auto"/>
            </w:tcBorders>
            <w:noWrap/>
            <w:vAlign w:val="center"/>
            <w:hideMark/>
          </w:tcPr>
          <w:p w:rsidR="009B18BA" w:rsidRPr="006C5E6D" w:rsidP="009B18BA" w14:paraId="1226590D" w14:textId="77777777">
            <w:pPr>
              <w:jc w:val="right"/>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 xml:space="preserve">$472.90 </w:t>
            </w:r>
          </w:p>
        </w:tc>
      </w:tr>
      <w:tr w14:paraId="4FC0ADD8" w14:textId="77777777" w:rsidTr="006C5E6D">
        <w:tblPrEx>
          <w:tblW w:w="9520" w:type="dxa"/>
          <w:tblLook w:val="04A0"/>
        </w:tblPrEx>
        <w:trPr>
          <w:gridAfter w:val="1"/>
          <w:wAfter w:w="1140" w:type="dxa"/>
          <w:trHeight w:val="264"/>
        </w:trPr>
        <w:tc>
          <w:tcPr>
            <w:tcW w:w="4596" w:type="dxa"/>
            <w:tcBorders>
              <w:top w:val="nil"/>
              <w:left w:val="single" w:sz="4" w:space="0" w:color="auto"/>
              <w:bottom w:val="single" w:sz="4" w:space="0" w:color="auto"/>
              <w:right w:val="single" w:sz="4" w:space="0" w:color="auto"/>
            </w:tcBorders>
            <w:noWrap/>
            <w:vAlign w:val="center"/>
            <w:hideMark/>
          </w:tcPr>
          <w:p w:rsidR="009B18BA" w:rsidRPr="006C5E6D" w:rsidP="009B18BA" w14:paraId="11859498" w14:textId="77777777">
            <w:pPr>
              <w:rPr>
                <w:rFonts w:ascii="Times New Roman" w:eastAsia="Times New Roman" w:hAnsi="Times New Roman" w:cs="Times New Roman"/>
                <w:color w:val="000000"/>
                <w:sz w:val="20"/>
                <w:szCs w:val="20"/>
              </w:rPr>
            </w:pPr>
            <w:r w:rsidRPr="006C5E6D">
              <w:rPr>
                <w:rFonts w:ascii="Times New Roman" w:eastAsia="Times New Roman" w:hAnsi="Times New Roman" w:cs="Times New Roman"/>
                <w:color w:val="000000"/>
                <w:sz w:val="20"/>
                <w:szCs w:val="20"/>
              </w:rPr>
              <w:t>GRAM - Other than Safety &amp; Compliance (GRAM-Other)</w:t>
            </w:r>
          </w:p>
        </w:tc>
        <w:tc>
          <w:tcPr>
            <w:tcW w:w="862" w:type="dxa"/>
            <w:tcBorders>
              <w:top w:val="nil"/>
              <w:left w:val="nil"/>
              <w:bottom w:val="single" w:sz="4" w:space="0" w:color="auto"/>
              <w:right w:val="single" w:sz="4" w:space="0" w:color="auto"/>
            </w:tcBorders>
            <w:noWrap/>
            <w:vAlign w:val="center"/>
            <w:hideMark/>
          </w:tcPr>
          <w:p w:rsidR="009B18BA" w:rsidRPr="006C5E6D" w:rsidP="009B18BA" w14:paraId="4CA235ED" w14:textId="77777777">
            <w:pPr>
              <w:jc w:val="right"/>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 xml:space="preserve">$274.00 </w:t>
            </w:r>
          </w:p>
        </w:tc>
        <w:tc>
          <w:tcPr>
            <w:tcW w:w="862" w:type="dxa"/>
            <w:tcBorders>
              <w:top w:val="nil"/>
              <w:left w:val="nil"/>
              <w:bottom w:val="single" w:sz="4" w:space="0" w:color="auto"/>
              <w:right w:val="single" w:sz="4" w:space="0" w:color="auto"/>
            </w:tcBorders>
            <w:noWrap/>
            <w:vAlign w:val="center"/>
            <w:hideMark/>
          </w:tcPr>
          <w:p w:rsidR="009B18BA" w:rsidRPr="006C5E6D" w:rsidP="009B18BA" w14:paraId="05FBB379" w14:textId="77777777">
            <w:pPr>
              <w:jc w:val="right"/>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 xml:space="preserve">$284.80 </w:t>
            </w:r>
          </w:p>
        </w:tc>
        <w:tc>
          <w:tcPr>
            <w:tcW w:w="960" w:type="dxa"/>
            <w:gridSpan w:val="2"/>
            <w:tcBorders>
              <w:top w:val="nil"/>
              <w:left w:val="nil"/>
              <w:bottom w:val="single" w:sz="4" w:space="0" w:color="auto"/>
              <w:right w:val="single" w:sz="4" w:space="0" w:color="auto"/>
            </w:tcBorders>
            <w:noWrap/>
            <w:vAlign w:val="center"/>
            <w:hideMark/>
          </w:tcPr>
          <w:p w:rsidR="009B18BA" w:rsidRPr="006C5E6D" w:rsidP="009B18BA" w14:paraId="2420CB6D" w14:textId="77777777">
            <w:pPr>
              <w:jc w:val="right"/>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 xml:space="preserve">$290.40 </w:t>
            </w:r>
          </w:p>
        </w:tc>
        <w:tc>
          <w:tcPr>
            <w:tcW w:w="1100" w:type="dxa"/>
            <w:gridSpan w:val="3"/>
            <w:tcBorders>
              <w:top w:val="nil"/>
              <w:left w:val="nil"/>
              <w:bottom w:val="single" w:sz="4" w:space="0" w:color="auto"/>
              <w:right w:val="single" w:sz="4" w:space="0" w:color="auto"/>
            </w:tcBorders>
            <w:noWrap/>
            <w:vAlign w:val="center"/>
            <w:hideMark/>
          </w:tcPr>
          <w:p w:rsidR="009B18BA" w:rsidRPr="006C5E6D" w:rsidP="009B18BA" w14:paraId="1928DD5B" w14:textId="77777777">
            <w:pPr>
              <w:jc w:val="right"/>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 xml:space="preserve">$849.10 </w:t>
            </w:r>
          </w:p>
        </w:tc>
      </w:tr>
      <w:tr w14:paraId="59EA4A20" w14:textId="77777777" w:rsidTr="006C5E6D">
        <w:tblPrEx>
          <w:tblW w:w="9520" w:type="dxa"/>
          <w:tblLook w:val="04A0"/>
        </w:tblPrEx>
        <w:trPr>
          <w:gridAfter w:val="1"/>
          <w:wAfter w:w="1140" w:type="dxa"/>
          <w:trHeight w:val="264"/>
        </w:trPr>
        <w:tc>
          <w:tcPr>
            <w:tcW w:w="4596" w:type="dxa"/>
            <w:tcBorders>
              <w:top w:val="nil"/>
              <w:left w:val="single" w:sz="4" w:space="0" w:color="auto"/>
              <w:bottom w:val="single" w:sz="4" w:space="0" w:color="auto"/>
              <w:right w:val="single" w:sz="4" w:space="0" w:color="auto"/>
            </w:tcBorders>
            <w:shd w:val="clear" w:color="000000" w:fill="FFFF00"/>
            <w:noWrap/>
            <w:vAlign w:val="center"/>
            <w:hideMark/>
          </w:tcPr>
          <w:p w:rsidR="009B18BA" w:rsidRPr="006C5E6D" w:rsidP="009B18BA" w14:paraId="2DDA23BE" w14:textId="77777777">
            <w:pPr>
              <w:jc w:val="center"/>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GRAM Total Capital Budgets</w:t>
            </w:r>
          </w:p>
        </w:tc>
        <w:tc>
          <w:tcPr>
            <w:tcW w:w="862" w:type="dxa"/>
            <w:tcBorders>
              <w:top w:val="nil"/>
              <w:left w:val="nil"/>
              <w:bottom w:val="single" w:sz="4" w:space="0" w:color="auto"/>
              <w:right w:val="single" w:sz="4" w:space="0" w:color="auto"/>
            </w:tcBorders>
            <w:shd w:val="clear" w:color="000000" w:fill="FFFF00"/>
            <w:noWrap/>
            <w:vAlign w:val="center"/>
            <w:hideMark/>
          </w:tcPr>
          <w:p w:rsidR="009B18BA" w:rsidRPr="006C5E6D" w:rsidP="009B18BA" w14:paraId="2499F58F" w14:textId="77777777">
            <w:pPr>
              <w:jc w:val="right"/>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 xml:space="preserve">$402.10 </w:t>
            </w:r>
          </w:p>
        </w:tc>
        <w:tc>
          <w:tcPr>
            <w:tcW w:w="862" w:type="dxa"/>
            <w:tcBorders>
              <w:top w:val="nil"/>
              <w:left w:val="nil"/>
              <w:bottom w:val="single" w:sz="4" w:space="0" w:color="auto"/>
              <w:right w:val="single" w:sz="4" w:space="0" w:color="auto"/>
            </w:tcBorders>
            <w:shd w:val="clear" w:color="000000" w:fill="FFFF00"/>
            <w:noWrap/>
            <w:vAlign w:val="center"/>
            <w:hideMark/>
          </w:tcPr>
          <w:p w:rsidR="009B18BA" w:rsidRPr="006C5E6D" w:rsidP="009B18BA" w14:paraId="416E3801" w14:textId="77777777">
            <w:pPr>
              <w:jc w:val="right"/>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 xml:space="preserve">$451.90 </w:t>
            </w:r>
          </w:p>
        </w:tc>
        <w:tc>
          <w:tcPr>
            <w:tcW w:w="960" w:type="dxa"/>
            <w:gridSpan w:val="2"/>
            <w:tcBorders>
              <w:top w:val="nil"/>
              <w:left w:val="nil"/>
              <w:bottom w:val="single" w:sz="4" w:space="0" w:color="auto"/>
              <w:right w:val="single" w:sz="4" w:space="0" w:color="auto"/>
            </w:tcBorders>
            <w:shd w:val="clear" w:color="000000" w:fill="FFFF00"/>
            <w:noWrap/>
            <w:vAlign w:val="center"/>
            <w:hideMark/>
          </w:tcPr>
          <w:p w:rsidR="009B18BA" w:rsidRPr="006C5E6D" w:rsidP="009B18BA" w14:paraId="3C675C06" w14:textId="77777777">
            <w:pPr>
              <w:jc w:val="right"/>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 xml:space="preserve">$468.00 </w:t>
            </w:r>
          </w:p>
        </w:tc>
        <w:tc>
          <w:tcPr>
            <w:tcW w:w="1100" w:type="dxa"/>
            <w:gridSpan w:val="3"/>
            <w:tcBorders>
              <w:top w:val="nil"/>
              <w:left w:val="nil"/>
              <w:bottom w:val="single" w:sz="4" w:space="0" w:color="auto"/>
              <w:right w:val="single" w:sz="4" w:space="0" w:color="auto"/>
            </w:tcBorders>
            <w:shd w:val="clear" w:color="000000" w:fill="FFFF00"/>
            <w:noWrap/>
            <w:vAlign w:val="center"/>
            <w:hideMark/>
          </w:tcPr>
          <w:p w:rsidR="009B18BA" w:rsidRPr="006C5E6D" w:rsidP="009B18BA" w14:paraId="64422DF7" w14:textId="77777777">
            <w:pPr>
              <w:jc w:val="right"/>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 xml:space="preserve">$1,322.00 </w:t>
            </w:r>
          </w:p>
        </w:tc>
      </w:tr>
      <w:tr w14:paraId="6E0AE4D0" w14:textId="77777777" w:rsidTr="006C5E6D">
        <w:tblPrEx>
          <w:tblW w:w="9520" w:type="dxa"/>
          <w:tblLook w:val="04A0"/>
        </w:tblPrEx>
        <w:trPr>
          <w:gridAfter w:val="1"/>
          <w:wAfter w:w="1140" w:type="dxa"/>
          <w:trHeight w:val="264"/>
        </w:trPr>
        <w:tc>
          <w:tcPr>
            <w:tcW w:w="4596" w:type="dxa"/>
            <w:tcBorders>
              <w:top w:val="nil"/>
              <w:left w:val="single" w:sz="4" w:space="0" w:color="auto"/>
              <w:bottom w:val="single" w:sz="4" w:space="0" w:color="auto"/>
              <w:right w:val="single" w:sz="4" w:space="0" w:color="auto"/>
            </w:tcBorders>
            <w:noWrap/>
            <w:vAlign w:val="center"/>
            <w:hideMark/>
          </w:tcPr>
          <w:p w:rsidR="009B18BA" w:rsidRPr="006C5E6D" w:rsidP="009B18BA" w14:paraId="0C2A8EF6" w14:textId="77777777">
            <w:pPr>
              <w:rPr>
                <w:rFonts w:ascii="Times New Roman" w:eastAsia="Times New Roman" w:hAnsi="Times New Roman" w:cs="Times New Roman"/>
                <w:color w:val="000000"/>
                <w:sz w:val="20"/>
                <w:szCs w:val="20"/>
              </w:rPr>
            </w:pPr>
            <w:r w:rsidRPr="006C5E6D">
              <w:rPr>
                <w:rFonts w:ascii="Times New Roman" w:eastAsia="Times New Roman" w:hAnsi="Times New Roman" w:cs="Times New Roman"/>
                <w:color w:val="000000"/>
                <w:sz w:val="20"/>
                <w:szCs w:val="20"/>
              </w:rPr>
              <w:t> </w:t>
            </w:r>
          </w:p>
        </w:tc>
        <w:tc>
          <w:tcPr>
            <w:tcW w:w="862" w:type="dxa"/>
            <w:tcBorders>
              <w:top w:val="nil"/>
              <w:left w:val="nil"/>
              <w:bottom w:val="single" w:sz="4" w:space="0" w:color="auto"/>
              <w:right w:val="single" w:sz="4" w:space="0" w:color="auto"/>
            </w:tcBorders>
            <w:noWrap/>
            <w:vAlign w:val="center"/>
            <w:hideMark/>
          </w:tcPr>
          <w:p w:rsidR="009B18BA" w:rsidRPr="006C5E6D" w:rsidP="009B18BA" w14:paraId="57BB24F8" w14:textId="77777777">
            <w:pPr>
              <w:jc w:val="right"/>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 </w:t>
            </w:r>
          </w:p>
        </w:tc>
        <w:tc>
          <w:tcPr>
            <w:tcW w:w="862" w:type="dxa"/>
            <w:tcBorders>
              <w:top w:val="nil"/>
              <w:left w:val="nil"/>
              <w:bottom w:val="single" w:sz="4" w:space="0" w:color="auto"/>
              <w:right w:val="single" w:sz="4" w:space="0" w:color="auto"/>
            </w:tcBorders>
            <w:noWrap/>
            <w:vAlign w:val="center"/>
            <w:hideMark/>
          </w:tcPr>
          <w:p w:rsidR="009B18BA" w:rsidRPr="006C5E6D" w:rsidP="009B18BA" w14:paraId="41862160" w14:textId="77777777">
            <w:pPr>
              <w:jc w:val="right"/>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 </w:t>
            </w:r>
          </w:p>
        </w:tc>
        <w:tc>
          <w:tcPr>
            <w:tcW w:w="960" w:type="dxa"/>
            <w:gridSpan w:val="2"/>
            <w:tcBorders>
              <w:top w:val="nil"/>
              <w:left w:val="nil"/>
              <w:bottom w:val="single" w:sz="4" w:space="0" w:color="auto"/>
              <w:right w:val="single" w:sz="4" w:space="0" w:color="auto"/>
            </w:tcBorders>
            <w:noWrap/>
            <w:vAlign w:val="center"/>
            <w:hideMark/>
          </w:tcPr>
          <w:p w:rsidR="009B18BA" w:rsidRPr="006C5E6D" w:rsidP="009B18BA" w14:paraId="51BB2D33" w14:textId="77777777">
            <w:pPr>
              <w:jc w:val="right"/>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 </w:t>
            </w:r>
          </w:p>
        </w:tc>
        <w:tc>
          <w:tcPr>
            <w:tcW w:w="1100" w:type="dxa"/>
            <w:gridSpan w:val="3"/>
            <w:tcBorders>
              <w:top w:val="nil"/>
              <w:left w:val="nil"/>
              <w:bottom w:val="single" w:sz="4" w:space="0" w:color="auto"/>
              <w:right w:val="single" w:sz="4" w:space="0" w:color="auto"/>
            </w:tcBorders>
            <w:noWrap/>
            <w:vAlign w:val="center"/>
            <w:hideMark/>
          </w:tcPr>
          <w:p w:rsidR="009B18BA" w:rsidRPr="006C5E6D" w:rsidP="009B18BA" w14:paraId="14C1E8C1" w14:textId="77777777">
            <w:pPr>
              <w:rPr>
                <w:rFonts w:ascii="Times New Roman" w:eastAsia="Times New Roman" w:hAnsi="Times New Roman" w:cs="Times New Roman"/>
                <w:b/>
                <w:bCs/>
                <w:sz w:val="20"/>
                <w:szCs w:val="20"/>
              </w:rPr>
            </w:pPr>
            <w:r w:rsidRPr="006C5E6D">
              <w:rPr>
                <w:rFonts w:ascii="Times New Roman" w:eastAsia="Times New Roman" w:hAnsi="Times New Roman" w:cs="Times New Roman"/>
                <w:b/>
                <w:bCs/>
                <w:sz w:val="20"/>
                <w:szCs w:val="20"/>
              </w:rPr>
              <w:t> </w:t>
            </w:r>
          </w:p>
        </w:tc>
      </w:tr>
      <w:tr w14:paraId="29254785" w14:textId="77777777" w:rsidTr="006C5E6D">
        <w:tblPrEx>
          <w:tblW w:w="9520" w:type="dxa"/>
          <w:tblLook w:val="04A0"/>
        </w:tblPrEx>
        <w:trPr>
          <w:gridAfter w:val="1"/>
          <w:wAfter w:w="1140" w:type="dxa"/>
          <w:trHeight w:val="264"/>
        </w:trPr>
        <w:tc>
          <w:tcPr>
            <w:tcW w:w="4596" w:type="dxa"/>
            <w:tcBorders>
              <w:top w:val="nil"/>
              <w:left w:val="single" w:sz="4" w:space="0" w:color="auto"/>
              <w:bottom w:val="single" w:sz="4" w:space="0" w:color="auto"/>
              <w:right w:val="single" w:sz="4" w:space="0" w:color="auto"/>
            </w:tcBorders>
            <w:noWrap/>
            <w:vAlign w:val="center"/>
            <w:hideMark/>
          </w:tcPr>
          <w:p w:rsidR="009B18BA" w:rsidRPr="006C5E6D" w:rsidP="009B18BA" w14:paraId="32F90250" w14:textId="77777777">
            <w:pPr>
              <w:rPr>
                <w:rFonts w:ascii="Times New Roman" w:eastAsia="Times New Roman" w:hAnsi="Times New Roman" w:cs="Times New Roman"/>
                <w:color w:val="000000"/>
                <w:sz w:val="20"/>
                <w:szCs w:val="20"/>
              </w:rPr>
            </w:pPr>
            <w:r w:rsidRPr="006C5E6D">
              <w:rPr>
                <w:rFonts w:ascii="Times New Roman" w:eastAsia="Times New Roman" w:hAnsi="Times New Roman" w:cs="Times New Roman"/>
                <w:color w:val="000000"/>
                <w:sz w:val="20"/>
                <w:szCs w:val="20"/>
              </w:rPr>
              <w:t>LNG - Cherokee LNG Expansion</w:t>
            </w:r>
          </w:p>
        </w:tc>
        <w:tc>
          <w:tcPr>
            <w:tcW w:w="862" w:type="dxa"/>
            <w:tcBorders>
              <w:top w:val="nil"/>
              <w:left w:val="nil"/>
              <w:bottom w:val="single" w:sz="4" w:space="0" w:color="auto"/>
              <w:right w:val="single" w:sz="4" w:space="0" w:color="auto"/>
            </w:tcBorders>
            <w:noWrap/>
            <w:vAlign w:val="center"/>
            <w:hideMark/>
          </w:tcPr>
          <w:p w:rsidR="009B18BA" w:rsidRPr="006C5E6D" w:rsidP="009B18BA" w14:paraId="15DA8F8E" w14:textId="77777777">
            <w:pPr>
              <w:jc w:val="right"/>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 xml:space="preserve">$39.80 </w:t>
            </w:r>
          </w:p>
        </w:tc>
        <w:tc>
          <w:tcPr>
            <w:tcW w:w="862" w:type="dxa"/>
            <w:tcBorders>
              <w:top w:val="nil"/>
              <w:left w:val="nil"/>
              <w:bottom w:val="single" w:sz="4" w:space="0" w:color="auto"/>
              <w:right w:val="single" w:sz="4" w:space="0" w:color="auto"/>
            </w:tcBorders>
            <w:noWrap/>
            <w:vAlign w:val="center"/>
            <w:hideMark/>
          </w:tcPr>
          <w:p w:rsidR="009B18BA" w:rsidRPr="006C5E6D" w:rsidP="009B18BA" w14:paraId="7CC201EA" w14:textId="77777777">
            <w:pPr>
              <w:jc w:val="right"/>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 xml:space="preserve">$0.00 </w:t>
            </w:r>
          </w:p>
        </w:tc>
        <w:tc>
          <w:tcPr>
            <w:tcW w:w="960" w:type="dxa"/>
            <w:gridSpan w:val="2"/>
            <w:tcBorders>
              <w:top w:val="nil"/>
              <w:left w:val="nil"/>
              <w:bottom w:val="single" w:sz="4" w:space="0" w:color="auto"/>
              <w:right w:val="single" w:sz="4" w:space="0" w:color="auto"/>
            </w:tcBorders>
            <w:noWrap/>
            <w:vAlign w:val="center"/>
            <w:hideMark/>
          </w:tcPr>
          <w:p w:rsidR="009B18BA" w:rsidRPr="006C5E6D" w:rsidP="009B18BA" w14:paraId="39D06B37" w14:textId="77777777">
            <w:pPr>
              <w:jc w:val="right"/>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 xml:space="preserve">$0.00 </w:t>
            </w:r>
          </w:p>
        </w:tc>
        <w:tc>
          <w:tcPr>
            <w:tcW w:w="1100" w:type="dxa"/>
            <w:gridSpan w:val="3"/>
            <w:tcBorders>
              <w:top w:val="nil"/>
              <w:left w:val="nil"/>
              <w:bottom w:val="single" w:sz="4" w:space="0" w:color="auto"/>
              <w:right w:val="single" w:sz="4" w:space="0" w:color="auto"/>
            </w:tcBorders>
            <w:noWrap/>
            <w:vAlign w:val="center"/>
            <w:hideMark/>
          </w:tcPr>
          <w:p w:rsidR="009B18BA" w:rsidRPr="006C5E6D" w:rsidP="009B18BA" w14:paraId="0BADE48A" w14:textId="77777777">
            <w:pPr>
              <w:jc w:val="right"/>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 xml:space="preserve">$39.80 </w:t>
            </w:r>
          </w:p>
        </w:tc>
      </w:tr>
      <w:tr w14:paraId="7E6F6965" w14:textId="77777777" w:rsidTr="006C5E6D">
        <w:tblPrEx>
          <w:tblW w:w="9520" w:type="dxa"/>
          <w:tblLook w:val="04A0"/>
        </w:tblPrEx>
        <w:trPr>
          <w:gridAfter w:val="1"/>
          <w:wAfter w:w="1140" w:type="dxa"/>
          <w:trHeight w:val="264"/>
        </w:trPr>
        <w:tc>
          <w:tcPr>
            <w:tcW w:w="4596" w:type="dxa"/>
            <w:tcBorders>
              <w:top w:val="nil"/>
              <w:left w:val="single" w:sz="4" w:space="0" w:color="auto"/>
              <w:bottom w:val="single" w:sz="4" w:space="0" w:color="auto"/>
              <w:right w:val="single" w:sz="4" w:space="0" w:color="auto"/>
            </w:tcBorders>
            <w:noWrap/>
            <w:vAlign w:val="center"/>
            <w:hideMark/>
          </w:tcPr>
          <w:p w:rsidR="009B18BA" w:rsidRPr="006C5E6D" w:rsidP="009B18BA" w14:paraId="16357470" w14:textId="77777777">
            <w:pPr>
              <w:rPr>
                <w:rFonts w:ascii="Times New Roman" w:eastAsia="Times New Roman" w:hAnsi="Times New Roman" w:cs="Times New Roman"/>
                <w:color w:val="000000"/>
                <w:sz w:val="20"/>
                <w:szCs w:val="20"/>
              </w:rPr>
            </w:pPr>
            <w:r w:rsidRPr="006C5E6D">
              <w:rPr>
                <w:rFonts w:ascii="Times New Roman" w:eastAsia="Times New Roman" w:hAnsi="Times New Roman" w:cs="Times New Roman"/>
                <w:color w:val="000000"/>
                <w:sz w:val="20"/>
                <w:szCs w:val="20"/>
              </w:rPr>
              <w:t>LNG - Valdosta Satellite LNG</w:t>
            </w:r>
          </w:p>
        </w:tc>
        <w:tc>
          <w:tcPr>
            <w:tcW w:w="862" w:type="dxa"/>
            <w:tcBorders>
              <w:top w:val="nil"/>
              <w:left w:val="nil"/>
              <w:bottom w:val="single" w:sz="4" w:space="0" w:color="auto"/>
              <w:right w:val="single" w:sz="4" w:space="0" w:color="auto"/>
            </w:tcBorders>
            <w:noWrap/>
            <w:vAlign w:val="center"/>
            <w:hideMark/>
          </w:tcPr>
          <w:p w:rsidR="009B18BA" w:rsidRPr="006C5E6D" w:rsidP="009B18BA" w14:paraId="1BC0AC3B" w14:textId="77777777">
            <w:pPr>
              <w:jc w:val="right"/>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 xml:space="preserve">$11.90 </w:t>
            </w:r>
          </w:p>
        </w:tc>
        <w:tc>
          <w:tcPr>
            <w:tcW w:w="862" w:type="dxa"/>
            <w:tcBorders>
              <w:top w:val="nil"/>
              <w:left w:val="nil"/>
              <w:bottom w:val="single" w:sz="4" w:space="0" w:color="auto"/>
              <w:right w:val="single" w:sz="4" w:space="0" w:color="auto"/>
            </w:tcBorders>
            <w:noWrap/>
            <w:vAlign w:val="center"/>
            <w:hideMark/>
          </w:tcPr>
          <w:p w:rsidR="009B18BA" w:rsidRPr="006C5E6D" w:rsidP="009B18BA" w14:paraId="499C081C" w14:textId="77777777">
            <w:pPr>
              <w:jc w:val="right"/>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 xml:space="preserve">$23.30 </w:t>
            </w:r>
          </w:p>
        </w:tc>
        <w:tc>
          <w:tcPr>
            <w:tcW w:w="960" w:type="dxa"/>
            <w:gridSpan w:val="2"/>
            <w:tcBorders>
              <w:top w:val="nil"/>
              <w:left w:val="nil"/>
              <w:bottom w:val="single" w:sz="4" w:space="0" w:color="auto"/>
              <w:right w:val="single" w:sz="4" w:space="0" w:color="auto"/>
            </w:tcBorders>
            <w:noWrap/>
            <w:vAlign w:val="center"/>
            <w:hideMark/>
          </w:tcPr>
          <w:p w:rsidR="009B18BA" w:rsidRPr="006C5E6D" w:rsidP="009B18BA" w14:paraId="01EFE840" w14:textId="77777777">
            <w:pPr>
              <w:jc w:val="right"/>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 xml:space="preserve">$24.50 </w:t>
            </w:r>
          </w:p>
        </w:tc>
        <w:tc>
          <w:tcPr>
            <w:tcW w:w="1100" w:type="dxa"/>
            <w:gridSpan w:val="3"/>
            <w:tcBorders>
              <w:top w:val="nil"/>
              <w:left w:val="nil"/>
              <w:bottom w:val="single" w:sz="4" w:space="0" w:color="auto"/>
              <w:right w:val="single" w:sz="4" w:space="0" w:color="auto"/>
            </w:tcBorders>
            <w:noWrap/>
            <w:vAlign w:val="center"/>
            <w:hideMark/>
          </w:tcPr>
          <w:p w:rsidR="009B18BA" w:rsidRPr="006C5E6D" w:rsidP="009B18BA" w14:paraId="6BAD9D10" w14:textId="77777777">
            <w:pPr>
              <w:jc w:val="right"/>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 xml:space="preserve">$59.70 </w:t>
            </w:r>
          </w:p>
        </w:tc>
      </w:tr>
      <w:tr w14:paraId="5B1DFE62" w14:textId="77777777" w:rsidTr="006C5E6D">
        <w:tblPrEx>
          <w:tblW w:w="9520" w:type="dxa"/>
          <w:tblLook w:val="04A0"/>
        </w:tblPrEx>
        <w:trPr>
          <w:gridAfter w:val="1"/>
          <w:wAfter w:w="1140" w:type="dxa"/>
          <w:trHeight w:val="264"/>
        </w:trPr>
        <w:tc>
          <w:tcPr>
            <w:tcW w:w="4596" w:type="dxa"/>
            <w:tcBorders>
              <w:top w:val="nil"/>
              <w:left w:val="single" w:sz="4" w:space="0" w:color="auto"/>
              <w:bottom w:val="single" w:sz="4" w:space="0" w:color="auto"/>
              <w:right w:val="single" w:sz="4" w:space="0" w:color="auto"/>
            </w:tcBorders>
            <w:shd w:val="clear" w:color="000000" w:fill="FFFF00"/>
            <w:noWrap/>
            <w:vAlign w:val="center"/>
            <w:hideMark/>
          </w:tcPr>
          <w:p w:rsidR="009B18BA" w:rsidRPr="006C5E6D" w:rsidP="009B18BA" w14:paraId="132B3EE8" w14:textId="77777777">
            <w:pPr>
              <w:jc w:val="center"/>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Total LNG Tracker Capital Budgets</w:t>
            </w:r>
          </w:p>
        </w:tc>
        <w:tc>
          <w:tcPr>
            <w:tcW w:w="862" w:type="dxa"/>
            <w:tcBorders>
              <w:top w:val="nil"/>
              <w:left w:val="nil"/>
              <w:bottom w:val="single" w:sz="4" w:space="0" w:color="auto"/>
              <w:right w:val="single" w:sz="4" w:space="0" w:color="auto"/>
            </w:tcBorders>
            <w:shd w:val="clear" w:color="000000" w:fill="FFFF00"/>
            <w:noWrap/>
            <w:vAlign w:val="center"/>
            <w:hideMark/>
          </w:tcPr>
          <w:p w:rsidR="009B18BA" w:rsidRPr="006C5E6D" w:rsidP="009B18BA" w14:paraId="7D18FD74" w14:textId="77777777">
            <w:pPr>
              <w:jc w:val="right"/>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 xml:space="preserve">$51.60 </w:t>
            </w:r>
          </w:p>
        </w:tc>
        <w:tc>
          <w:tcPr>
            <w:tcW w:w="862" w:type="dxa"/>
            <w:tcBorders>
              <w:top w:val="nil"/>
              <w:left w:val="nil"/>
              <w:bottom w:val="single" w:sz="4" w:space="0" w:color="auto"/>
              <w:right w:val="single" w:sz="4" w:space="0" w:color="auto"/>
            </w:tcBorders>
            <w:shd w:val="clear" w:color="000000" w:fill="FFFF00"/>
            <w:noWrap/>
            <w:vAlign w:val="center"/>
            <w:hideMark/>
          </w:tcPr>
          <w:p w:rsidR="009B18BA" w:rsidRPr="006C5E6D" w:rsidP="009B18BA" w14:paraId="42C04DAA" w14:textId="77777777">
            <w:pPr>
              <w:jc w:val="right"/>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 xml:space="preserve">$23.30 </w:t>
            </w:r>
          </w:p>
        </w:tc>
        <w:tc>
          <w:tcPr>
            <w:tcW w:w="960" w:type="dxa"/>
            <w:gridSpan w:val="2"/>
            <w:tcBorders>
              <w:top w:val="nil"/>
              <w:left w:val="nil"/>
              <w:bottom w:val="single" w:sz="4" w:space="0" w:color="auto"/>
              <w:right w:val="single" w:sz="4" w:space="0" w:color="auto"/>
            </w:tcBorders>
            <w:shd w:val="clear" w:color="000000" w:fill="FFFF00"/>
            <w:noWrap/>
            <w:vAlign w:val="center"/>
            <w:hideMark/>
          </w:tcPr>
          <w:p w:rsidR="009B18BA" w:rsidRPr="006C5E6D" w:rsidP="009B18BA" w14:paraId="66705CC8" w14:textId="77777777">
            <w:pPr>
              <w:jc w:val="right"/>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 xml:space="preserve">$24.50 </w:t>
            </w:r>
          </w:p>
        </w:tc>
        <w:tc>
          <w:tcPr>
            <w:tcW w:w="1100" w:type="dxa"/>
            <w:gridSpan w:val="3"/>
            <w:tcBorders>
              <w:top w:val="nil"/>
              <w:left w:val="nil"/>
              <w:bottom w:val="single" w:sz="4" w:space="0" w:color="auto"/>
              <w:right w:val="single" w:sz="4" w:space="0" w:color="auto"/>
            </w:tcBorders>
            <w:shd w:val="clear" w:color="000000" w:fill="FFFF00"/>
            <w:noWrap/>
            <w:vAlign w:val="center"/>
            <w:hideMark/>
          </w:tcPr>
          <w:p w:rsidR="009B18BA" w:rsidRPr="006C5E6D" w:rsidP="009B18BA" w14:paraId="7FA43F51" w14:textId="77777777">
            <w:pPr>
              <w:jc w:val="right"/>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 xml:space="preserve">$99.40 </w:t>
            </w:r>
          </w:p>
        </w:tc>
      </w:tr>
      <w:tr w14:paraId="1A452FF6" w14:textId="77777777" w:rsidTr="006C5E6D">
        <w:tblPrEx>
          <w:tblW w:w="9520" w:type="dxa"/>
          <w:tblLook w:val="04A0"/>
        </w:tblPrEx>
        <w:trPr>
          <w:gridAfter w:val="1"/>
          <w:wAfter w:w="1140" w:type="dxa"/>
          <w:trHeight w:val="264"/>
        </w:trPr>
        <w:tc>
          <w:tcPr>
            <w:tcW w:w="4596" w:type="dxa"/>
            <w:tcBorders>
              <w:top w:val="nil"/>
              <w:left w:val="single" w:sz="4" w:space="0" w:color="auto"/>
              <w:bottom w:val="single" w:sz="4" w:space="0" w:color="auto"/>
              <w:right w:val="single" w:sz="4" w:space="0" w:color="auto"/>
            </w:tcBorders>
            <w:noWrap/>
            <w:vAlign w:val="center"/>
            <w:hideMark/>
          </w:tcPr>
          <w:p w:rsidR="009B18BA" w:rsidRPr="006C5E6D" w:rsidP="009B18BA" w14:paraId="28B4EE76" w14:textId="77777777">
            <w:pPr>
              <w:rPr>
                <w:rFonts w:ascii="Times New Roman" w:eastAsia="Times New Roman" w:hAnsi="Times New Roman" w:cs="Times New Roman"/>
                <w:color w:val="000000"/>
                <w:sz w:val="20"/>
                <w:szCs w:val="20"/>
              </w:rPr>
            </w:pPr>
            <w:r w:rsidRPr="006C5E6D">
              <w:rPr>
                <w:rFonts w:ascii="Times New Roman" w:eastAsia="Times New Roman" w:hAnsi="Times New Roman" w:cs="Times New Roman"/>
                <w:color w:val="000000"/>
                <w:sz w:val="20"/>
                <w:szCs w:val="20"/>
              </w:rPr>
              <w:t> </w:t>
            </w:r>
          </w:p>
        </w:tc>
        <w:tc>
          <w:tcPr>
            <w:tcW w:w="862" w:type="dxa"/>
            <w:tcBorders>
              <w:top w:val="nil"/>
              <w:left w:val="nil"/>
              <w:bottom w:val="single" w:sz="4" w:space="0" w:color="auto"/>
              <w:right w:val="single" w:sz="4" w:space="0" w:color="auto"/>
            </w:tcBorders>
            <w:noWrap/>
            <w:vAlign w:val="center"/>
            <w:hideMark/>
          </w:tcPr>
          <w:p w:rsidR="009B18BA" w:rsidRPr="006C5E6D" w:rsidP="009B18BA" w14:paraId="402CFE2F" w14:textId="77777777">
            <w:pPr>
              <w:jc w:val="right"/>
              <w:rPr>
                <w:rFonts w:ascii="Times New Roman" w:eastAsia="Times New Roman" w:hAnsi="Times New Roman" w:cs="Times New Roman"/>
                <w:color w:val="000000"/>
                <w:sz w:val="20"/>
                <w:szCs w:val="20"/>
              </w:rPr>
            </w:pPr>
            <w:r w:rsidRPr="006C5E6D">
              <w:rPr>
                <w:rFonts w:ascii="Times New Roman" w:eastAsia="Times New Roman" w:hAnsi="Times New Roman" w:cs="Times New Roman"/>
                <w:color w:val="000000"/>
                <w:sz w:val="20"/>
                <w:szCs w:val="20"/>
              </w:rPr>
              <w:t> </w:t>
            </w:r>
          </w:p>
        </w:tc>
        <w:tc>
          <w:tcPr>
            <w:tcW w:w="862" w:type="dxa"/>
            <w:tcBorders>
              <w:top w:val="nil"/>
              <w:left w:val="nil"/>
              <w:bottom w:val="single" w:sz="4" w:space="0" w:color="auto"/>
              <w:right w:val="single" w:sz="4" w:space="0" w:color="auto"/>
            </w:tcBorders>
            <w:noWrap/>
            <w:vAlign w:val="center"/>
            <w:hideMark/>
          </w:tcPr>
          <w:p w:rsidR="009B18BA" w:rsidRPr="006C5E6D" w:rsidP="009B18BA" w14:paraId="19201855" w14:textId="77777777">
            <w:pPr>
              <w:jc w:val="right"/>
              <w:rPr>
                <w:rFonts w:ascii="Times New Roman" w:eastAsia="Times New Roman" w:hAnsi="Times New Roman" w:cs="Times New Roman"/>
                <w:color w:val="000000"/>
                <w:sz w:val="20"/>
                <w:szCs w:val="20"/>
              </w:rPr>
            </w:pPr>
            <w:r w:rsidRPr="006C5E6D">
              <w:rPr>
                <w:rFonts w:ascii="Times New Roman" w:eastAsia="Times New Roman" w:hAnsi="Times New Roman" w:cs="Times New Roman"/>
                <w:color w:val="000000"/>
                <w:sz w:val="20"/>
                <w:szCs w:val="20"/>
              </w:rPr>
              <w:t> </w:t>
            </w:r>
          </w:p>
        </w:tc>
        <w:tc>
          <w:tcPr>
            <w:tcW w:w="960" w:type="dxa"/>
            <w:gridSpan w:val="2"/>
            <w:tcBorders>
              <w:top w:val="nil"/>
              <w:left w:val="nil"/>
              <w:bottom w:val="single" w:sz="4" w:space="0" w:color="auto"/>
              <w:right w:val="single" w:sz="4" w:space="0" w:color="auto"/>
            </w:tcBorders>
            <w:noWrap/>
            <w:vAlign w:val="center"/>
            <w:hideMark/>
          </w:tcPr>
          <w:p w:rsidR="009B18BA" w:rsidRPr="006C5E6D" w:rsidP="009B18BA" w14:paraId="7F5244C0" w14:textId="77777777">
            <w:pPr>
              <w:jc w:val="right"/>
              <w:rPr>
                <w:rFonts w:ascii="Times New Roman" w:eastAsia="Times New Roman" w:hAnsi="Times New Roman" w:cs="Times New Roman"/>
                <w:color w:val="000000"/>
                <w:sz w:val="20"/>
                <w:szCs w:val="20"/>
              </w:rPr>
            </w:pPr>
            <w:r w:rsidRPr="006C5E6D">
              <w:rPr>
                <w:rFonts w:ascii="Times New Roman" w:eastAsia="Times New Roman" w:hAnsi="Times New Roman" w:cs="Times New Roman"/>
                <w:color w:val="000000"/>
                <w:sz w:val="20"/>
                <w:szCs w:val="20"/>
              </w:rPr>
              <w:t> </w:t>
            </w:r>
          </w:p>
        </w:tc>
        <w:tc>
          <w:tcPr>
            <w:tcW w:w="1100" w:type="dxa"/>
            <w:gridSpan w:val="3"/>
            <w:tcBorders>
              <w:top w:val="nil"/>
              <w:left w:val="nil"/>
              <w:bottom w:val="single" w:sz="4" w:space="0" w:color="auto"/>
              <w:right w:val="single" w:sz="4" w:space="0" w:color="auto"/>
            </w:tcBorders>
            <w:noWrap/>
            <w:vAlign w:val="center"/>
            <w:hideMark/>
          </w:tcPr>
          <w:p w:rsidR="009B18BA" w:rsidRPr="006C5E6D" w:rsidP="009B18BA" w14:paraId="12246BB8" w14:textId="77777777">
            <w:pPr>
              <w:rPr>
                <w:rFonts w:ascii="Times New Roman" w:eastAsia="Times New Roman" w:hAnsi="Times New Roman" w:cs="Times New Roman"/>
                <w:b/>
                <w:bCs/>
                <w:sz w:val="20"/>
                <w:szCs w:val="20"/>
              </w:rPr>
            </w:pPr>
            <w:r w:rsidRPr="006C5E6D">
              <w:rPr>
                <w:rFonts w:ascii="Times New Roman" w:eastAsia="Times New Roman" w:hAnsi="Times New Roman" w:cs="Times New Roman"/>
                <w:b/>
                <w:bCs/>
                <w:sz w:val="20"/>
                <w:szCs w:val="20"/>
              </w:rPr>
              <w:t> </w:t>
            </w:r>
          </w:p>
        </w:tc>
      </w:tr>
      <w:tr w14:paraId="6F4F3363" w14:textId="77777777" w:rsidTr="006C5E6D">
        <w:tblPrEx>
          <w:tblW w:w="9520" w:type="dxa"/>
          <w:tblLook w:val="04A0"/>
        </w:tblPrEx>
        <w:trPr>
          <w:gridAfter w:val="1"/>
          <w:wAfter w:w="1140" w:type="dxa"/>
          <w:trHeight w:val="264"/>
        </w:trPr>
        <w:tc>
          <w:tcPr>
            <w:tcW w:w="4596" w:type="dxa"/>
            <w:tcBorders>
              <w:top w:val="nil"/>
              <w:left w:val="single" w:sz="4" w:space="0" w:color="auto"/>
              <w:bottom w:val="single" w:sz="4" w:space="0" w:color="auto"/>
              <w:right w:val="single" w:sz="4" w:space="0" w:color="auto"/>
            </w:tcBorders>
            <w:shd w:val="clear" w:color="000000" w:fill="FFFF00"/>
            <w:noWrap/>
            <w:vAlign w:val="center"/>
            <w:hideMark/>
          </w:tcPr>
          <w:p w:rsidR="009B18BA" w:rsidRPr="006C5E6D" w:rsidP="009B18BA" w14:paraId="6B4DBA18" w14:textId="77777777">
            <w:pPr>
              <w:rPr>
                <w:rFonts w:ascii="Times New Roman" w:eastAsia="Times New Roman" w:hAnsi="Times New Roman" w:cs="Times New Roman"/>
                <w:color w:val="000000"/>
                <w:sz w:val="20"/>
                <w:szCs w:val="20"/>
              </w:rPr>
            </w:pPr>
            <w:r w:rsidRPr="006C5E6D">
              <w:rPr>
                <w:rFonts w:ascii="Times New Roman" w:eastAsia="Times New Roman" w:hAnsi="Times New Roman" w:cs="Times New Roman"/>
                <w:color w:val="000000"/>
                <w:sz w:val="20"/>
                <w:szCs w:val="20"/>
              </w:rPr>
              <w:t>RIDER - System Reinforcement Rider (SRR)-Actual Totals</w:t>
            </w:r>
          </w:p>
        </w:tc>
        <w:tc>
          <w:tcPr>
            <w:tcW w:w="862" w:type="dxa"/>
            <w:tcBorders>
              <w:top w:val="nil"/>
              <w:left w:val="nil"/>
              <w:bottom w:val="single" w:sz="4" w:space="0" w:color="auto"/>
              <w:right w:val="single" w:sz="4" w:space="0" w:color="auto"/>
            </w:tcBorders>
            <w:shd w:val="clear" w:color="000000" w:fill="FFFF00"/>
            <w:noWrap/>
            <w:vAlign w:val="center"/>
            <w:hideMark/>
          </w:tcPr>
          <w:p w:rsidR="009B18BA" w:rsidRPr="006C5E6D" w:rsidP="009B18BA" w14:paraId="1FE920BC" w14:textId="690FDB2E">
            <w:pPr>
              <w:jc w:val="right"/>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w:t>
            </w:r>
            <w:r w:rsidRPr="006C5E6D" w:rsidR="00B07E34">
              <w:rPr>
                <w:rFonts w:ascii="Times New Roman" w:eastAsia="Times New Roman" w:hAnsi="Times New Roman" w:cs="Times New Roman"/>
                <w:b/>
                <w:bCs/>
                <w:color w:val="000000"/>
                <w:sz w:val="20"/>
                <w:szCs w:val="20"/>
              </w:rPr>
              <w:t xml:space="preserve">$149.20 </w:t>
            </w:r>
          </w:p>
        </w:tc>
        <w:tc>
          <w:tcPr>
            <w:tcW w:w="862" w:type="dxa"/>
            <w:tcBorders>
              <w:top w:val="nil"/>
              <w:left w:val="nil"/>
              <w:bottom w:val="single" w:sz="4" w:space="0" w:color="auto"/>
              <w:right w:val="single" w:sz="4" w:space="0" w:color="auto"/>
            </w:tcBorders>
            <w:shd w:val="clear" w:color="000000" w:fill="FFFF00"/>
            <w:noWrap/>
            <w:vAlign w:val="center"/>
            <w:hideMark/>
          </w:tcPr>
          <w:p w:rsidR="009B18BA" w:rsidRPr="006C5E6D" w:rsidP="009B18BA" w14:paraId="4D998312" w14:textId="77777777">
            <w:pPr>
              <w:jc w:val="right"/>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 xml:space="preserve">$148.50 </w:t>
            </w:r>
          </w:p>
        </w:tc>
        <w:tc>
          <w:tcPr>
            <w:tcW w:w="960" w:type="dxa"/>
            <w:gridSpan w:val="2"/>
            <w:tcBorders>
              <w:top w:val="nil"/>
              <w:left w:val="nil"/>
              <w:bottom w:val="single" w:sz="4" w:space="0" w:color="auto"/>
              <w:right w:val="single" w:sz="4" w:space="0" w:color="auto"/>
            </w:tcBorders>
            <w:shd w:val="clear" w:color="000000" w:fill="FFFF00"/>
            <w:noWrap/>
            <w:vAlign w:val="center"/>
            <w:hideMark/>
          </w:tcPr>
          <w:p w:rsidR="009B18BA" w:rsidRPr="006C5E6D" w:rsidP="009B18BA" w14:paraId="15461AEA" w14:textId="77777777">
            <w:pPr>
              <w:jc w:val="right"/>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 xml:space="preserve">$150.80 </w:t>
            </w:r>
          </w:p>
        </w:tc>
        <w:tc>
          <w:tcPr>
            <w:tcW w:w="1100" w:type="dxa"/>
            <w:gridSpan w:val="3"/>
            <w:tcBorders>
              <w:top w:val="nil"/>
              <w:left w:val="nil"/>
              <w:bottom w:val="single" w:sz="4" w:space="0" w:color="auto"/>
              <w:right w:val="single" w:sz="4" w:space="0" w:color="auto"/>
            </w:tcBorders>
            <w:shd w:val="clear" w:color="000000" w:fill="FFFF00"/>
            <w:noWrap/>
            <w:vAlign w:val="center"/>
            <w:hideMark/>
          </w:tcPr>
          <w:p w:rsidR="009B18BA" w:rsidRPr="006C5E6D" w:rsidP="009B18BA" w14:paraId="3D834086" w14:textId="77777777">
            <w:pPr>
              <w:jc w:val="right"/>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 xml:space="preserve">$448.50 </w:t>
            </w:r>
          </w:p>
        </w:tc>
      </w:tr>
      <w:tr w14:paraId="2AE6186D" w14:textId="77777777" w:rsidTr="006C5E6D">
        <w:tblPrEx>
          <w:tblW w:w="9520" w:type="dxa"/>
          <w:tblLook w:val="04A0"/>
        </w:tblPrEx>
        <w:trPr>
          <w:gridAfter w:val="1"/>
          <w:wAfter w:w="1140" w:type="dxa"/>
          <w:trHeight w:val="264"/>
        </w:trPr>
        <w:tc>
          <w:tcPr>
            <w:tcW w:w="4596" w:type="dxa"/>
            <w:tcBorders>
              <w:top w:val="nil"/>
              <w:left w:val="single" w:sz="4" w:space="0" w:color="auto"/>
              <w:bottom w:val="single" w:sz="4" w:space="0" w:color="auto"/>
              <w:right w:val="single" w:sz="4" w:space="0" w:color="auto"/>
            </w:tcBorders>
            <w:noWrap/>
            <w:vAlign w:val="center"/>
            <w:hideMark/>
          </w:tcPr>
          <w:p w:rsidR="009B18BA" w:rsidRPr="006C5E6D" w:rsidP="009B18BA" w14:paraId="4C734D95" w14:textId="77777777">
            <w:pPr>
              <w:rPr>
                <w:rFonts w:ascii="Times New Roman" w:eastAsia="Times New Roman" w:hAnsi="Times New Roman" w:cs="Times New Roman"/>
                <w:color w:val="000000"/>
                <w:sz w:val="20"/>
                <w:szCs w:val="20"/>
              </w:rPr>
            </w:pPr>
            <w:r w:rsidRPr="006C5E6D">
              <w:rPr>
                <w:rFonts w:ascii="Times New Roman" w:eastAsia="Times New Roman" w:hAnsi="Times New Roman" w:cs="Times New Roman"/>
                <w:color w:val="000000"/>
                <w:sz w:val="20"/>
                <w:szCs w:val="20"/>
              </w:rPr>
              <w:t> </w:t>
            </w:r>
          </w:p>
        </w:tc>
        <w:tc>
          <w:tcPr>
            <w:tcW w:w="862" w:type="dxa"/>
            <w:tcBorders>
              <w:top w:val="nil"/>
              <w:left w:val="nil"/>
              <w:bottom w:val="single" w:sz="4" w:space="0" w:color="auto"/>
              <w:right w:val="single" w:sz="4" w:space="0" w:color="auto"/>
            </w:tcBorders>
            <w:noWrap/>
            <w:vAlign w:val="center"/>
            <w:hideMark/>
          </w:tcPr>
          <w:p w:rsidR="009B18BA" w:rsidRPr="006C5E6D" w:rsidP="009B18BA" w14:paraId="7E742744" w14:textId="77777777">
            <w:pPr>
              <w:jc w:val="right"/>
              <w:rPr>
                <w:rFonts w:ascii="Times New Roman" w:eastAsia="Times New Roman" w:hAnsi="Times New Roman" w:cs="Times New Roman"/>
                <w:color w:val="000000"/>
                <w:sz w:val="20"/>
                <w:szCs w:val="20"/>
              </w:rPr>
            </w:pPr>
            <w:r w:rsidRPr="006C5E6D">
              <w:rPr>
                <w:rFonts w:ascii="Times New Roman" w:eastAsia="Times New Roman" w:hAnsi="Times New Roman" w:cs="Times New Roman"/>
                <w:color w:val="000000"/>
                <w:sz w:val="20"/>
                <w:szCs w:val="20"/>
              </w:rPr>
              <w:t> </w:t>
            </w:r>
          </w:p>
        </w:tc>
        <w:tc>
          <w:tcPr>
            <w:tcW w:w="862" w:type="dxa"/>
            <w:tcBorders>
              <w:top w:val="nil"/>
              <w:left w:val="nil"/>
              <w:bottom w:val="single" w:sz="4" w:space="0" w:color="auto"/>
              <w:right w:val="single" w:sz="4" w:space="0" w:color="auto"/>
            </w:tcBorders>
            <w:noWrap/>
            <w:vAlign w:val="center"/>
            <w:hideMark/>
          </w:tcPr>
          <w:p w:rsidR="009B18BA" w:rsidRPr="006C5E6D" w:rsidP="009B18BA" w14:paraId="49134940" w14:textId="77777777">
            <w:pPr>
              <w:jc w:val="right"/>
              <w:rPr>
                <w:rFonts w:ascii="Times New Roman" w:eastAsia="Times New Roman" w:hAnsi="Times New Roman" w:cs="Times New Roman"/>
                <w:color w:val="000000"/>
                <w:sz w:val="20"/>
                <w:szCs w:val="20"/>
              </w:rPr>
            </w:pPr>
            <w:r w:rsidRPr="006C5E6D">
              <w:rPr>
                <w:rFonts w:ascii="Times New Roman" w:eastAsia="Times New Roman" w:hAnsi="Times New Roman" w:cs="Times New Roman"/>
                <w:color w:val="000000"/>
                <w:sz w:val="20"/>
                <w:szCs w:val="20"/>
              </w:rPr>
              <w:t> </w:t>
            </w:r>
          </w:p>
        </w:tc>
        <w:tc>
          <w:tcPr>
            <w:tcW w:w="960" w:type="dxa"/>
            <w:gridSpan w:val="2"/>
            <w:tcBorders>
              <w:top w:val="nil"/>
              <w:left w:val="nil"/>
              <w:bottom w:val="single" w:sz="4" w:space="0" w:color="auto"/>
              <w:right w:val="single" w:sz="4" w:space="0" w:color="auto"/>
            </w:tcBorders>
            <w:noWrap/>
            <w:vAlign w:val="center"/>
            <w:hideMark/>
          </w:tcPr>
          <w:p w:rsidR="009B18BA" w:rsidRPr="006C5E6D" w:rsidP="009B18BA" w14:paraId="03EDE54F" w14:textId="77777777">
            <w:pPr>
              <w:jc w:val="right"/>
              <w:rPr>
                <w:rFonts w:ascii="Times New Roman" w:eastAsia="Times New Roman" w:hAnsi="Times New Roman" w:cs="Times New Roman"/>
                <w:color w:val="000000"/>
                <w:sz w:val="20"/>
                <w:szCs w:val="20"/>
              </w:rPr>
            </w:pPr>
            <w:r w:rsidRPr="006C5E6D">
              <w:rPr>
                <w:rFonts w:ascii="Times New Roman" w:eastAsia="Times New Roman" w:hAnsi="Times New Roman" w:cs="Times New Roman"/>
                <w:color w:val="000000"/>
                <w:sz w:val="20"/>
                <w:szCs w:val="20"/>
              </w:rPr>
              <w:t> </w:t>
            </w:r>
          </w:p>
        </w:tc>
        <w:tc>
          <w:tcPr>
            <w:tcW w:w="1100" w:type="dxa"/>
            <w:gridSpan w:val="3"/>
            <w:tcBorders>
              <w:top w:val="nil"/>
              <w:left w:val="nil"/>
              <w:bottom w:val="single" w:sz="4" w:space="0" w:color="auto"/>
              <w:right w:val="single" w:sz="4" w:space="0" w:color="auto"/>
            </w:tcBorders>
            <w:noWrap/>
            <w:vAlign w:val="center"/>
            <w:hideMark/>
          </w:tcPr>
          <w:p w:rsidR="009B18BA" w:rsidRPr="006C5E6D" w:rsidP="009B18BA" w14:paraId="5882BEFF" w14:textId="77777777">
            <w:pPr>
              <w:rPr>
                <w:rFonts w:ascii="Times New Roman" w:eastAsia="Times New Roman" w:hAnsi="Times New Roman" w:cs="Times New Roman"/>
                <w:b/>
                <w:bCs/>
                <w:sz w:val="20"/>
                <w:szCs w:val="20"/>
              </w:rPr>
            </w:pPr>
            <w:r w:rsidRPr="006C5E6D">
              <w:rPr>
                <w:rFonts w:ascii="Times New Roman" w:eastAsia="Times New Roman" w:hAnsi="Times New Roman" w:cs="Times New Roman"/>
                <w:b/>
                <w:bCs/>
                <w:sz w:val="20"/>
                <w:szCs w:val="20"/>
              </w:rPr>
              <w:t> </w:t>
            </w:r>
          </w:p>
        </w:tc>
      </w:tr>
      <w:tr w14:paraId="340BF52E" w14:textId="77777777" w:rsidTr="006C5E6D">
        <w:tblPrEx>
          <w:tblW w:w="9520" w:type="dxa"/>
          <w:tblLook w:val="04A0"/>
        </w:tblPrEx>
        <w:trPr>
          <w:gridAfter w:val="1"/>
          <w:wAfter w:w="1140" w:type="dxa"/>
          <w:trHeight w:val="264"/>
        </w:trPr>
        <w:tc>
          <w:tcPr>
            <w:tcW w:w="4596" w:type="dxa"/>
            <w:tcBorders>
              <w:top w:val="nil"/>
              <w:left w:val="single" w:sz="4" w:space="0" w:color="auto"/>
              <w:bottom w:val="single" w:sz="4" w:space="0" w:color="auto"/>
              <w:right w:val="single" w:sz="4" w:space="0" w:color="auto"/>
            </w:tcBorders>
            <w:shd w:val="clear" w:color="000000" w:fill="92D050"/>
            <w:noWrap/>
            <w:vAlign w:val="center"/>
            <w:hideMark/>
          </w:tcPr>
          <w:p w:rsidR="009B18BA" w:rsidRPr="006C5E6D" w:rsidP="009B18BA" w14:paraId="5843D4A1" w14:textId="77777777">
            <w:pPr>
              <w:jc w:val="center"/>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Total 2025 - 2034 I-CDP Capital Budgets</w:t>
            </w:r>
          </w:p>
        </w:tc>
        <w:tc>
          <w:tcPr>
            <w:tcW w:w="862" w:type="dxa"/>
            <w:tcBorders>
              <w:top w:val="nil"/>
              <w:left w:val="nil"/>
              <w:bottom w:val="single" w:sz="4" w:space="0" w:color="auto"/>
              <w:right w:val="single" w:sz="4" w:space="0" w:color="auto"/>
            </w:tcBorders>
            <w:shd w:val="clear" w:color="000000" w:fill="92D050"/>
            <w:noWrap/>
            <w:vAlign w:val="center"/>
            <w:hideMark/>
          </w:tcPr>
          <w:p w:rsidR="009B18BA" w:rsidRPr="006C5E6D" w:rsidP="009B18BA" w14:paraId="3D4105D2" w14:textId="77777777">
            <w:pPr>
              <w:jc w:val="right"/>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 xml:space="preserve">$602.90 </w:t>
            </w:r>
          </w:p>
        </w:tc>
        <w:tc>
          <w:tcPr>
            <w:tcW w:w="862" w:type="dxa"/>
            <w:tcBorders>
              <w:top w:val="nil"/>
              <w:left w:val="nil"/>
              <w:bottom w:val="single" w:sz="4" w:space="0" w:color="auto"/>
              <w:right w:val="single" w:sz="4" w:space="0" w:color="auto"/>
            </w:tcBorders>
            <w:shd w:val="clear" w:color="000000" w:fill="92D050"/>
            <w:noWrap/>
            <w:vAlign w:val="center"/>
            <w:hideMark/>
          </w:tcPr>
          <w:p w:rsidR="009B18BA" w:rsidRPr="006C5E6D" w:rsidP="009B18BA" w14:paraId="02892142" w14:textId="77777777">
            <w:pPr>
              <w:jc w:val="right"/>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 xml:space="preserve">$623.70 </w:t>
            </w:r>
          </w:p>
        </w:tc>
        <w:tc>
          <w:tcPr>
            <w:tcW w:w="960" w:type="dxa"/>
            <w:gridSpan w:val="2"/>
            <w:tcBorders>
              <w:top w:val="nil"/>
              <w:left w:val="nil"/>
              <w:bottom w:val="single" w:sz="4" w:space="0" w:color="auto"/>
              <w:right w:val="single" w:sz="4" w:space="0" w:color="auto"/>
            </w:tcBorders>
            <w:shd w:val="clear" w:color="000000" w:fill="92D050"/>
            <w:noWrap/>
            <w:vAlign w:val="center"/>
            <w:hideMark/>
          </w:tcPr>
          <w:p w:rsidR="009B18BA" w:rsidRPr="006C5E6D" w:rsidP="009B18BA" w14:paraId="61CD9DE4" w14:textId="77777777">
            <w:pPr>
              <w:jc w:val="right"/>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 xml:space="preserve">$643.30 </w:t>
            </w:r>
          </w:p>
        </w:tc>
        <w:tc>
          <w:tcPr>
            <w:tcW w:w="1100" w:type="dxa"/>
            <w:gridSpan w:val="3"/>
            <w:tcBorders>
              <w:top w:val="nil"/>
              <w:left w:val="nil"/>
              <w:bottom w:val="single" w:sz="4" w:space="0" w:color="auto"/>
              <w:right w:val="single" w:sz="4" w:space="0" w:color="auto"/>
            </w:tcBorders>
            <w:shd w:val="clear" w:color="000000" w:fill="92D050"/>
            <w:noWrap/>
            <w:vAlign w:val="center"/>
            <w:hideMark/>
          </w:tcPr>
          <w:p w:rsidR="009B18BA" w:rsidRPr="006C5E6D" w:rsidP="009B18BA" w14:paraId="282F2786" w14:textId="77777777">
            <w:pPr>
              <w:jc w:val="right"/>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 xml:space="preserve">$1,869.90 </w:t>
            </w:r>
          </w:p>
        </w:tc>
      </w:tr>
      <w:tr w14:paraId="6664F007" w14:textId="77777777" w:rsidTr="006C5E6D">
        <w:tblPrEx>
          <w:tblW w:w="9520" w:type="dxa"/>
          <w:tblLook w:val="04A0"/>
        </w:tblPrEx>
        <w:trPr>
          <w:trHeight w:val="288"/>
        </w:trPr>
        <w:tc>
          <w:tcPr>
            <w:tcW w:w="6440" w:type="dxa"/>
            <w:gridSpan w:val="4"/>
            <w:tcBorders>
              <w:top w:val="nil"/>
              <w:left w:val="nil"/>
              <w:bottom w:val="nil"/>
              <w:right w:val="nil"/>
            </w:tcBorders>
            <w:noWrap/>
            <w:vAlign w:val="bottom"/>
            <w:hideMark/>
          </w:tcPr>
          <w:p w:rsidR="008E055A" w:rsidRPr="006C5E6D" w:rsidP="008E055A" w14:paraId="43136CB3" w14:textId="77777777">
            <w:pPr>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*Docket No. 43820 2025 - 2034 i-CDP Final Order Attachment-A</w:t>
            </w:r>
          </w:p>
          <w:p w:rsidR="00876C10" w:rsidRPr="006C5E6D" w:rsidP="008E055A" w14:paraId="56C7730D" w14:textId="730106CD">
            <w:pPr>
              <w:rPr>
                <w:rFonts w:ascii="Times New Roman" w:eastAsia="Times New Roman" w:hAnsi="Times New Roman" w:cs="Times New Roman"/>
                <w:b/>
                <w:bCs/>
                <w:color w:val="000000"/>
                <w:sz w:val="20"/>
                <w:szCs w:val="20"/>
              </w:rPr>
            </w:pPr>
            <w:r w:rsidRPr="006C5E6D">
              <w:rPr>
                <w:rFonts w:ascii="Times New Roman" w:eastAsia="Times New Roman" w:hAnsi="Times New Roman" w:cs="Times New Roman"/>
                <w:b/>
                <w:bCs/>
                <w:color w:val="000000"/>
                <w:sz w:val="20"/>
                <w:szCs w:val="20"/>
              </w:rPr>
              <w:t>**ECON-1 and DOT Capital Budgets not included.</w:t>
            </w:r>
          </w:p>
        </w:tc>
        <w:tc>
          <w:tcPr>
            <w:tcW w:w="960" w:type="dxa"/>
            <w:gridSpan w:val="2"/>
            <w:tcBorders>
              <w:top w:val="nil"/>
              <w:left w:val="nil"/>
              <w:bottom w:val="nil"/>
              <w:right w:val="nil"/>
            </w:tcBorders>
            <w:noWrap/>
            <w:vAlign w:val="bottom"/>
            <w:hideMark/>
          </w:tcPr>
          <w:p w:rsidR="008E055A" w:rsidRPr="006C5E6D" w:rsidP="008E055A" w14:paraId="3C958E9E" w14:textId="77777777">
            <w:pPr>
              <w:rPr>
                <w:rFonts w:ascii="Times New Roman" w:eastAsia="Times New Roman" w:hAnsi="Times New Roman" w:cs="Times New Roman"/>
                <w:b/>
                <w:bCs/>
                <w:color w:val="000000"/>
                <w:sz w:val="20"/>
                <w:szCs w:val="20"/>
              </w:rPr>
            </w:pPr>
          </w:p>
        </w:tc>
        <w:tc>
          <w:tcPr>
            <w:tcW w:w="960" w:type="dxa"/>
            <w:tcBorders>
              <w:top w:val="nil"/>
              <w:left w:val="nil"/>
              <w:bottom w:val="nil"/>
              <w:right w:val="nil"/>
            </w:tcBorders>
            <w:noWrap/>
            <w:vAlign w:val="bottom"/>
            <w:hideMark/>
          </w:tcPr>
          <w:p w:rsidR="008E055A" w:rsidRPr="00E34E74" w:rsidP="008E055A" w14:paraId="508D1585" w14:textId="77777777">
            <w:pPr>
              <w:rPr>
                <w:rFonts w:ascii="Times New Roman" w:eastAsia="Times New Roman" w:hAnsi="Times New Roman" w:cs="Times New Roman"/>
                <w:sz w:val="20"/>
                <w:szCs w:val="20"/>
              </w:rPr>
            </w:pPr>
          </w:p>
        </w:tc>
        <w:tc>
          <w:tcPr>
            <w:tcW w:w="1160" w:type="dxa"/>
            <w:gridSpan w:val="2"/>
            <w:tcBorders>
              <w:top w:val="nil"/>
              <w:left w:val="nil"/>
              <w:bottom w:val="nil"/>
              <w:right w:val="nil"/>
            </w:tcBorders>
            <w:noWrap/>
            <w:vAlign w:val="bottom"/>
            <w:hideMark/>
          </w:tcPr>
          <w:p w:rsidR="008E055A" w:rsidRPr="008E055A" w:rsidP="008E055A" w14:paraId="4F7F6C27" w14:textId="77777777">
            <w:pPr>
              <w:rPr>
                <w:rFonts w:ascii="Times New Roman" w:eastAsia="Times New Roman" w:hAnsi="Times New Roman" w:cs="Times New Roman"/>
                <w:sz w:val="20"/>
                <w:szCs w:val="20"/>
              </w:rPr>
            </w:pPr>
          </w:p>
        </w:tc>
      </w:tr>
      <w:tr w14:paraId="342120F2" w14:textId="77777777" w:rsidTr="006C5E6D">
        <w:tblPrEx>
          <w:tblW w:w="9520" w:type="dxa"/>
          <w:tblLook w:val="04A0"/>
        </w:tblPrEx>
        <w:trPr>
          <w:trHeight w:val="288"/>
        </w:trPr>
        <w:tc>
          <w:tcPr>
            <w:tcW w:w="6440" w:type="dxa"/>
            <w:gridSpan w:val="4"/>
            <w:tcBorders>
              <w:top w:val="nil"/>
              <w:left w:val="nil"/>
              <w:bottom w:val="nil"/>
              <w:right w:val="nil"/>
            </w:tcBorders>
            <w:noWrap/>
            <w:vAlign w:val="bottom"/>
          </w:tcPr>
          <w:p w:rsidR="006031C6" w:rsidP="008E055A" w14:paraId="1844E54B" w14:textId="77777777">
            <w:pPr>
              <w:rPr>
                <w:rFonts w:ascii="Aptos Narrow" w:eastAsia="Times New Roman" w:hAnsi="Aptos Narrow" w:cs="Times New Roman"/>
                <w:b/>
                <w:bCs/>
                <w:color w:val="000000"/>
              </w:rPr>
            </w:pPr>
          </w:p>
          <w:p w:rsidR="006031C6" w:rsidRPr="008E055A" w:rsidP="008E055A" w14:paraId="49367C61" w14:textId="3E6DE64C">
            <w:pPr>
              <w:rPr>
                <w:rFonts w:ascii="Aptos Narrow" w:eastAsia="Times New Roman" w:hAnsi="Aptos Narrow" w:cs="Times New Roman"/>
                <w:b/>
                <w:bCs/>
                <w:color w:val="000000"/>
              </w:rPr>
            </w:pPr>
          </w:p>
        </w:tc>
        <w:tc>
          <w:tcPr>
            <w:tcW w:w="960" w:type="dxa"/>
            <w:gridSpan w:val="2"/>
            <w:tcBorders>
              <w:top w:val="nil"/>
              <w:left w:val="nil"/>
              <w:bottom w:val="nil"/>
              <w:right w:val="nil"/>
            </w:tcBorders>
            <w:noWrap/>
            <w:vAlign w:val="bottom"/>
          </w:tcPr>
          <w:p w:rsidR="006031C6" w:rsidRPr="008E055A" w:rsidP="008E055A" w14:paraId="4A4E78AB" w14:textId="1C381287">
            <w:pPr>
              <w:rPr>
                <w:rFonts w:ascii="Aptos Narrow" w:eastAsia="Times New Roman" w:hAnsi="Aptos Narrow" w:cs="Times New Roman"/>
                <w:b/>
                <w:bCs/>
                <w:color w:val="000000"/>
              </w:rPr>
            </w:pPr>
          </w:p>
        </w:tc>
        <w:tc>
          <w:tcPr>
            <w:tcW w:w="960" w:type="dxa"/>
            <w:tcBorders>
              <w:top w:val="nil"/>
              <w:left w:val="nil"/>
              <w:bottom w:val="nil"/>
              <w:right w:val="nil"/>
            </w:tcBorders>
            <w:noWrap/>
            <w:vAlign w:val="bottom"/>
          </w:tcPr>
          <w:p w:rsidR="006031C6" w:rsidRPr="008E055A" w:rsidP="008E055A" w14:paraId="3F781362" w14:textId="77777777">
            <w:pPr>
              <w:rPr>
                <w:rFonts w:ascii="Times New Roman" w:eastAsia="Times New Roman" w:hAnsi="Times New Roman" w:cs="Times New Roman"/>
                <w:sz w:val="20"/>
                <w:szCs w:val="20"/>
              </w:rPr>
            </w:pPr>
          </w:p>
        </w:tc>
        <w:tc>
          <w:tcPr>
            <w:tcW w:w="1160" w:type="dxa"/>
            <w:gridSpan w:val="2"/>
            <w:tcBorders>
              <w:top w:val="nil"/>
              <w:left w:val="nil"/>
              <w:bottom w:val="nil"/>
              <w:right w:val="nil"/>
            </w:tcBorders>
            <w:noWrap/>
            <w:vAlign w:val="bottom"/>
          </w:tcPr>
          <w:p w:rsidR="006031C6" w:rsidRPr="008E055A" w:rsidP="008E055A" w14:paraId="7C8C7994" w14:textId="77777777">
            <w:pPr>
              <w:rPr>
                <w:rFonts w:ascii="Times New Roman" w:eastAsia="Times New Roman" w:hAnsi="Times New Roman" w:cs="Times New Roman"/>
                <w:sz w:val="20"/>
                <w:szCs w:val="20"/>
              </w:rPr>
            </w:pPr>
          </w:p>
        </w:tc>
      </w:tr>
    </w:tbl>
    <w:p w:rsidR="006031C6" w:rsidRPr="006C5E6D" w:rsidP="006031C6" w14:paraId="3D7BCE62" w14:textId="5DC08A13">
      <w:pPr>
        <w:spacing w:line="480" w:lineRule="auto"/>
        <w:jc w:val="both"/>
        <w:rPr>
          <w:rFonts w:ascii="Times New Roman" w:eastAsia="Calibri" w:hAnsi="Times New Roman" w:cs="Times New Roman"/>
          <w:sz w:val="24"/>
          <w:szCs w:val="24"/>
        </w:rPr>
      </w:pPr>
      <w:r>
        <w:rPr>
          <w:rFonts w:ascii="Times New Roman" w:eastAsia="Calibri" w:hAnsi="Times New Roman" w:cs="Times New Roman"/>
          <w:b/>
          <w:bCs/>
          <w:sz w:val="24"/>
          <w:szCs w:val="24"/>
        </w:rPr>
        <w:tab/>
      </w:r>
      <w:r>
        <w:rPr>
          <w:rFonts w:ascii="Times New Roman" w:eastAsia="Calibri" w:hAnsi="Times New Roman" w:cs="Times New Roman"/>
          <w:sz w:val="24"/>
          <w:szCs w:val="24"/>
        </w:rPr>
        <w:t xml:space="preserve">In Table-2 below, a revised forecast of the i-CDP capital budgets </w:t>
      </w:r>
      <w:r w:rsidR="008B726B">
        <w:rPr>
          <w:rFonts w:ascii="Times New Roman" w:eastAsia="Calibri" w:hAnsi="Times New Roman" w:cs="Times New Roman"/>
          <w:sz w:val="24"/>
          <w:szCs w:val="24"/>
        </w:rPr>
        <w:t>is</w:t>
      </w:r>
      <w:r>
        <w:rPr>
          <w:rFonts w:ascii="Times New Roman" w:eastAsia="Calibri" w:hAnsi="Times New Roman" w:cs="Times New Roman"/>
          <w:sz w:val="24"/>
          <w:szCs w:val="24"/>
        </w:rPr>
        <w:t xml:space="preserve"> provided. The Company has forecasted that by the end of 2027</w:t>
      </w:r>
      <w:r w:rsidR="006109C9">
        <w:rPr>
          <w:rFonts w:ascii="Times New Roman" w:eastAsia="Calibri" w:hAnsi="Times New Roman" w:cs="Times New Roman"/>
          <w:sz w:val="24"/>
          <w:szCs w:val="24"/>
        </w:rPr>
        <w:t>,</w:t>
      </w:r>
      <w:r w:rsidR="003A3D58">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the GRAM capital budget will have $11.9 million </w:t>
      </w:r>
      <w:r w:rsidR="003A3D58">
        <w:rPr>
          <w:rFonts w:ascii="Times New Roman" w:eastAsia="Calibri" w:hAnsi="Times New Roman" w:cs="Times New Roman"/>
          <w:sz w:val="24"/>
          <w:szCs w:val="24"/>
        </w:rPr>
        <w:t>forecasted underspending</w:t>
      </w:r>
      <w:r>
        <w:rPr>
          <w:rFonts w:ascii="Times New Roman" w:eastAsia="Calibri" w:hAnsi="Times New Roman" w:cs="Times New Roman"/>
          <w:sz w:val="24"/>
          <w:szCs w:val="24"/>
        </w:rPr>
        <w:t xml:space="preserve">. </w:t>
      </w:r>
      <w:r w:rsidR="003A3D58">
        <w:rPr>
          <w:rFonts w:ascii="Times New Roman" w:eastAsia="Calibri" w:hAnsi="Times New Roman" w:cs="Times New Roman"/>
          <w:sz w:val="24"/>
          <w:szCs w:val="24"/>
        </w:rPr>
        <w:t xml:space="preserve">By the end of 2027, the </w:t>
      </w:r>
      <w:r>
        <w:rPr>
          <w:rFonts w:ascii="Times New Roman" w:eastAsia="Calibri" w:hAnsi="Times New Roman" w:cs="Times New Roman"/>
          <w:sz w:val="24"/>
          <w:szCs w:val="24"/>
        </w:rPr>
        <w:t xml:space="preserve">SRR </w:t>
      </w:r>
      <w:r w:rsidR="003A3D58">
        <w:rPr>
          <w:rFonts w:ascii="Times New Roman" w:eastAsia="Calibri" w:hAnsi="Times New Roman" w:cs="Times New Roman"/>
          <w:sz w:val="24"/>
          <w:szCs w:val="24"/>
        </w:rPr>
        <w:t xml:space="preserve">capital budget </w:t>
      </w:r>
      <w:r>
        <w:rPr>
          <w:rFonts w:ascii="Times New Roman" w:eastAsia="Calibri" w:hAnsi="Times New Roman" w:cs="Times New Roman"/>
          <w:sz w:val="24"/>
          <w:szCs w:val="24"/>
        </w:rPr>
        <w:t xml:space="preserve">will have $62.8 million </w:t>
      </w:r>
      <w:r w:rsidR="003A3D58">
        <w:rPr>
          <w:rFonts w:ascii="Times New Roman" w:eastAsia="Calibri" w:hAnsi="Times New Roman" w:cs="Times New Roman"/>
          <w:sz w:val="24"/>
          <w:szCs w:val="24"/>
        </w:rPr>
        <w:t xml:space="preserve">forecasted under-spending. With the additional SRR requested spending as part of this </w:t>
      </w:r>
      <w:r w:rsidR="007548C5">
        <w:rPr>
          <w:rFonts w:ascii="Times New Roman" w:eastAsia="Calibri" w:hAnsi="Times New Roman" w:cs="Times New Roman"/>
          <w:sz w:val="24"/>
          <w:szCs w:val="24"/>
        </w:rPr>
        <w:t>Petition</w:t>
      </w:r>
      <w:r w:rsidR="003A3D58">
        <w:rPr>
          <w:rFonts w:ascii="Times New Roman" w:eastAsia="Calibri" w:hAnsi="Times New Roman" w:cs="Times New Roman"/>
          <w:sz w:val="24"/>
          <w:szCs w:val="24"/>
        </w:rPr>
        <w:t xml:space="preserve">, AGL has forecasted the additional spending at $33.4 million. The adjusted forecast for the SRR is $29.4 million in under-spending. The total forecasted GRAM and SRR under-spending by the end of 2027 </w:t>
      </w:r>
      <w:r w:rsidR="005A3169">
        <w:rPr>
          <w:rFonts w:ascii="Times New Roman" w:eastAsia="Calibri" w:hAnsi="Times New Roman" w:cs="Times New Roman"/>
          <w:sz w:val="24"/>
          <w:szCs w:val="24"/>
        </w:rPr>
        <w:t>is</w:t>
      </w:r>
      <w:r w:rsidR="003A3D58">
        <w:rPr>
          <w:rFonts w:ascii="Times New Roman" w:eastAsia="Calibri" w:hAnsi="Times New Roman" w:cs="Times New Roman"/>
          <w:sz w:val="24"/>
          <w:szCs w:val="24"/>
        </w:rPr>
        <w:t xml:space="preserve"> $41.</w:t>
      </w:r>
      <w:r w:rsidR="00CE7C11">
        <w:rPr>
          <w:rFonts w:ascii="Times New Roman" w:eastAsia="Calibri" w:hAnsi="Times New Roman" w:cs="Times New Roman"/>
          <w:sz w:val="24"/>
          <w:szCs w:val="24"/>
        </w:rPr>
        <w:t>2</w:t>
      </w:r>
      <w:r w:rsidR="003A3D58">
        <w:rPr>
          <w:rFonts w:ascii="Times New Roman" w:eastAsia="Calibri" w:hAnsi="Times New Roman" w:cs="Times New Roman"/>
          <w:sz w:val="24"/>
          <w:szCs w:val="24"/>
        </w:rPr>
        <w:t xml:space="preserve"> million. By the end of 2027, the LNG Tracker capital budget will have a forecasted 41.2 million </w:t>
      </w:r>
      <w:r w:rsidR="009C44BD">
        <w:rPr>
          <w:rFonts w:ascii="Times New Roman" w:eastAsia="Calibri" w:hAnsi="Times New Roman" w:cs="Times New Roman"/>
          <w:sz w:val="24"/>
          <w:szCs w:val="24"/>
        </w:rPr>
        <w:t>overspend</w:t>
      </w:r>
      <w:r w:rsidR="008B726B">
        <w:rPr>
          <w:rFonts w:ascii="Times New Roman" w:eastAsia="Calibri" w:hAnsi="Times New Roman" w:cs="Times New Roman"/>
          <w:sz w:val="24"/>
          <w:szCs w:val="24"/>
        </w:rPr>
        <w:t>,</w:t>
      </w:r>
      <w:r w:rsidR="009C44BD">
        <w:rPr>
          <w:rFonts w:ascii="Times New Roman" w:eastAsia="Calibri" w:hAnsi="Times New Roman" w:cs="Times New Roman"/>
          <w:sz w:val="24"/>
          <w:szCs w:val="24"/>
        </w:rPr>
        <w:t xml:space="preserve"> which will be netted out by the </w:t>
      </w:r>
      <w:r w:rsidR="00903414">
        <w:rPr>
          <w:rFonts w:ascii="Times New Roman" w:eastAsia="Calibri" w:hAnsi="Times New Roman" w:cs="Times New Roman"/>
          <w:sz w:val="24"/>
          <w:szCs w:val="24"/>
        </w:rPr>
        <w:t>combined GRAM and SRR forecasted underspend.</w:t>
      </w:r>
    </w:p>
    <w:p w:rsidR="00F930F3" w:rsidRPr="007C5BEC" w:rsidP="006C5E6D" w14:paraId="1446C304" w14:textId="25478B39">
      <w:pPr>
        <w:spacing w:line="480" w:lineRule="auto"/>
        <w:jc w:val="both"/>
        <w:rPr>
          <w:rFonts w:ascii="Times New Roman" w:eastAsia="Calibri" w:hAnsi="Times New Roman" w:cs="Times New Roman"/>
          <w:b/>
          <w:bCs/>
          <w:sz w:val="24"/>
          <w:szCs w:val="24"/>
        </w:rPr>
      </w:pPr>
      <w:r w:rsidRPr="00737D5B">
        <w:rPr>
          <w:noProof/>
        </w:rPr>
        <w:drawing>
          <wp:anchor distT="0" distB="0" distL="114300" distR="114300" simplePos="0" relativeHeight="251659264" behindDoc="0" locked="0" layoutInCell="1" allowOverlap="1">
            <wp:simplePos x="0" y="0"/>
            <wp:positionH relativeFrom="page">
              <wp:posOffset>784860</wp:posOffset>
            </wp:positionH>
            <wp:positionV relativeFrom="paragraph">
              <wp:posOffset>281940</wp:posOffset>
            </wp:positionV>
            <wp:extent cx="6666865" cy="1468120"/>
            <wp:effectExtent l="0" t="0" r="635" b="0"/>
            <wp:wrapSquare wrapText="bothSides"/>
            <wp:docPr id="19297755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775565" name="Picture 2"/>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6666865" cy="14681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eastAsia="Calibri" w:hAnsi="Times New Roman" w:cs="Times New Roman"/>
          <w:b/>
          <w:bCs/>
          <w:sz w:val="24"/>
          <w:szCs w:val="24"/>
        </w:rPr>
        <w:t>Table-2: 2025-2034 i-CDP Capital Budgets Revised Forecast</w:t>
      </w:r>
    </w:p>
    <w:p w:rsidR="008E055A" w:rsidP="006C5E6D" w14:paraId="097215A4" w14:textId="77777777">
      <w:pPr>
        <w:spacing w:line="480" w:lineRule="auto"/>
        <w:ind w:left="1728" w:firstLine="720"/>
        <w:jc w:val="both"/>
        <w:rPr>
          <w:rFonts w:ascii="Times New Roman" w:eastAsia="Calibri" w:hAnsi="Times New Roman" w:cs="Times New Roman"/>
          <w:sz w:val="24"/>
          <w:szCs w:val="24"/>
        </w:rPr>
      </w:pPr>
    </w:p>
    <w:p w:rsidR="001252DE" w:rsidRPr="00A01BE9" w:rsidP="00A01BE9" w14:paraId="3F093FEA" w14:textId="1CC5693E">
      <w:pPr>
        <w:pStyle w:val="ListParagraph"/>
        <w:numPr>
          <w:ilvl w:val="0"/>
          <w:numId w:val="7"/>
        </w:numPr>
        <w:spacing w:line="480" w:lineRule="auto"/>
        <w:jc w:val="both"/>
        <w:rPr>
          <w:rFonts w:ascii="Times New Roman" w:eastAsia="Times New Roman" w:hAnsi="Times New Roman" w:cs="Times New Roman"/>
          <w:b/>
          <w:bCs/>
          <w:color w:val="000000"/>
          <w:sz w:val="24"/>
          <w:szCs w:val="24"/>
        </w:rPr>
      </w:pPr>
      <w:r w:rsidRPr="00A01BE9">
        <w:rPr>
          <w:rFonts w:ascii="Times New Roman" w:eastAsia="Times New Roman" w:hAnsi="Times New Roman" w:cs="Times New Roman"/>
          <w:b/>
          <w:bCs/>
          <w:color w:val="000000"/>
          <w:sz w:val="24"/>
          <w:szCs w:val="24"/>
        </w:rPr>
        <w:t xml:space="preserve">Purpose of the </w:t>
      </w:r>
      <w:r w:rsidR="00C47128">
        <w:rPr>
          <w:rFonts w:ascii="Times New Roman" w:eastAsia="Times New Roman" w:hAnsi="Times New Roman" w:cs="Times New Roman"/>
          <w:b/>
          <w:bCs/>
          <w:color w:val="000000"/>
          <w:sz w:val="24"/>
          <w:szCs w:val="24"/>
        </w:rPr>
        <w:t>Combination Review</w:t>
      </w:r>
      <w:r w:rsidRPr="00A01BE9">
        <w:rPr>
          <w:rFonts w:ascii="Times New Roman" w:eastAsia="Times New Roman" w:hAnsi="Times New Roman" w:cs="Times New Roman"/>
          <w:b/>
          <w:bCs/>
          <w:color w:val="000000"/>
          <w:sz w:val="24"/>
          <w:szCs w:val="24"/>
        </w:rPr>
        <w:t xml:space="preserve"> Request</w:t>
      </w:r>
    </w:p>
    <w:p w:rsidR="00221DEC" w:rsidRPr="00F31E7B" w:rsidP="00BD467F" w14:paraId="4BE1502B" w14:textId="67F8EC07">
      <w:pPr>
        <w:spacing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Cherokee LNG Expansion project was proposed in 2020 and included in the 2022-2031 i-CDP. The Commission hired an independent engineering firm to review the project estimates</w:t>
      </w:r>
      <w:r w:rsidR="00C4705A">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and the firm validated </w:t>
      </w:r>
      <w:r w:rsidR="000C6E3C">
        <w:rPr>
          <w:rFonts w:ascii="Times New Roman" w:eastAsia="Times New Roman" w:hAnsi="Times New Roman" w:cs="Times New Roman"/>
          <w:color w:val="000000"/>
          <w:sz w:val="24"/>
          <w:szCs w:val="24"/>
        </w:rPr>
        <w:t>those estimates</w:t>
      </w:r>
      <w:r>
        <w:rPr>
          <w:rFonts w:ascii="Times New Roman" w:eastAsia="Times New Roman" w:hAnsi="Times New Roman" w:cs="Times New Roman"/>
          <w:color w:val="000000"/>
          <w:sz w:val="24"/>
          <w:szCs w:val="24"/>
        </w:rPr>
        <w:t xml:space="preserve">. The current total project estimates are within approximately </w:t>
      </w:r>
      <w:r w:rsidR="000C6E3C">
        <w:rPr>
          <w:rFonts w:ascii="Times New Roman" w:eastAsia="Times New Roman" w:hAnsi="Times New Roman" w:cs="Times New Roman"/>
          <w:color w:val="000000"/>
          <w:sz w:val="24"/>
          <w:szCs w:val="24"/>
        </w:rPr>
        <w:t>ten</w:t>
      </w:r>
      <w:r>
        <w:rPr>
          <w:rFonts w:ascii="Times New Roman" w:eastAsia="Times New Roman" w:hAnsi="Times New Roman" w:cs="Times New Roman"/>
          <w:color w:val="000000"/>
          <w:sz w:val="24"/>
          <w:szCs w:val="24"/>
        </w:rPr>
        <w:t xml:space="preserve"> percent of the budget that was developed and validated prior to the supply chain disruptions and inflationary labor and material increases associated with the pandemic. AGL has documented such increases through the quarterly LNG tracker updates. The Company believes this project-to-date increase to be reasonable considering the U.S. Bureau of Labor Statistics data </w:t>
      </w:r>
      <w:r w:rsidR="008F155E">
        <w:rPr>
          <w:rFonts w:ascii="Times New Roman" w:eastAsia="Times New Roman" w:hAnsi="Times New Roman" w:cs="Times New Roman"/>
          <w:color w:val="000000"/>
          <w:sz w:val="24"/>
          <w:szCs w:val="24"/>
        </w:rPr>
        <w:t xml:space="preserve">reports overall inflation during this same period to be approximately </w:t>
      </w:r>
      <w:r w:rsidR="000C6E3C">
        <w:rPr>
          <w:rFonts w:ascii="Times New Roman" w:eastAsia="Times New Roman" w:hAnsi="Times New Roman" w:cs="Times New Roman"/>
          <w:color w:val="000000"/>
          <w:sz w:val="24"/>
          <w:szCs w:val="24"/>
        </w:rPr>
        <w:t>twenty-six</w:t>
      </w:r>
      <w:r w:rsidR="008F155E">
        <w:rPr>
          <w:rFonts w:ascii="Times New Roman" w:eastAsia="Times New Roman" w:hAnsi="Times New Roman" w:cs="Times New Roman"/>
          <w:color w:val="000000"/>
          <w:sz w:val="24"/>
          <w:szCs w:val="24"/>
        </w:rPr>
        <w:t xml:space="preserve"> percent.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b/>
      </w:r>
    </w:p>
    <w:p w:rsidR="003C1F36" w:rsidRPr="006B0A1A" w:rsidP="00BD467F" w14:paraId="6BB5FE77" w14:textId="3D4E7D89">
      <w:pPr>
        <w:pStyle w:val="ListParagraph"/>
        <w:numPr>
          <w:ilvl w:val="0"/>
          <w:numId w:val="8"/>
        </w:numPr>
        <w:ind w:left="0" w:firstLine="0"/>
        <w:jc w:val="center"/>
        <w:rPr>
          <w:rFonts w:ascii="Times New Roman" w:hAnsi="Times New Roman" w:cs="Times New Roman"/>
          <w:b/>
          <w:sz w:val="24"/>
          <w:szCs w:val="24"/>
          <w:u w:val="single"/>
        </w:rPr>
      </w:pPr>
      <w:r w:rsidRPr="006B0A1A">
        <w:rPr>
          <w:rFonts w:ascii="Times New Roman" w:hAnsi="Times New Roman" w:cs="Times New Roman"/>
          <w:b/>
          <w:sz w:val="24"/>
          <w:szCs w:val="24"/>
          <w:u w:val="single"/>
        </w:rPr>
        <w:t xml:space="preserve">CONCLUSION </w:t>
      </w:r>
    </w:p>
    <w:p w:rsidR="003C1F36" w:rsidRPr="00E14D98" w:rsidP="003C1F36" w14:paraId="3FF01417" w14:textId="77777777">
      <w:pPr>
        <w:jc w:val="center"/>
        <w:rPr>
          <w:rFonts w:ascii="Times New Roman" w:hAnsi="Times New Roman" w:cs="Times New Roman"/>
          <w:sz w:val="24"/>
          <w:szCs w:val="24"/>
        </w:rPr>
      </w:pPr>
    </w:p>
    <w:p w:rsidR="00C24C34" w:rsidRPr="006C5E6D" w:rsidP="00661DB3" w14:paraId="7CD8BBF5" w14:textId="3E7DEDB1">
      <w:pPr>
        <w:suppressLineNumbers/>
        <w:spacing w:line="480" w:lineRule="auto"/>
        <w:ind w:firstLine="720"/>
        <w:jc w:val="both"/>
        <w:rPr>
          <w:rFonts w:ascii="Times New Roman" w:eastAsia="Calibri" w:hAnsi="Times New Roman" w:cs="Times New Roman"/>
          <w:sz w:val="24"/>
          <w:szCs w:val="24"/>
        </w:rPr>
      </w:pPr>
      <w:r w:rsidRPr="00E224D0">
        <w:rPr>
          <w:rFonts w:ascii="Times New Roman" w:hAnsi="Times New Roman" w:cs="Times New Roman"/>
          <w:iCs/>
          <w:sz w:val="24"/>
          <w:szCs w:val="24"/>
        </w:rPr>
        <w:t xml:space="preserve">AGL respectfully requests that this Commission issue an order approving its Petition </w:t>
      </w:r>
      <w:r w:rsidR="00C90503">
        <w:rPr>
          <w:rFonts w:ascii="Times New Roman" w:hAnsi="Times New Roman" w:cs="Times New Roman"/>
          <w:iCs/>
          <w:sz w:val="24"/>
          <w:szCs w:val="24"/>
        </w:rPr>
        <w:t>to Amend</w:t>
      </w:r>
      <w:r w:rsidRPr="00E224D0">
        <w:rPr>
          <w:rFonts w:ascii="Times New Roman" w:hAnsi="Times New Roman" w:cs="Times New Roman"/>
          <w:iCs/>
          <w:sz w:val="24"/>
          <w:szCs w:val="24"/>
        </w:rPr>
        <w:t xml:space="preserve"> the 2025-2034 i-CD</w:t>
      </w:r>
      <w:r w:rsidR="00661DB3">
        <w:rPr>
          <w:rFonts w:ascii="Times New Roman" w:hAnsi="Times New Roman" w:cs="Times New Roman"/>
          <w:sz w:val="24"/>
          <w:szCs w:val="24"/>
        </w:rPr>
        <w:t xml:space="preserve">P </w:t>
      </w:r>
      <w:r w:rsidRPr="00E224D0">
        <w:rPr>
          <w:rFonts w:ascii="Times New Roman" w:hAnsi="Times New Roman" w:cs="Times New Roman"/>
          <w:sz w:val="24"/>
          <w:szCs w:val="24"/>
        </w:rPr>
        <w:t xml:space="preserve">for </w:t>
      </w:r>
      <w:r w:rsidR="00685122">
        <w:rPr>
          <w:rFonts w:ascii="Times New Roman" w:hAnsi="Times New Roman" w:cs="Times New Roman"/>
          <w:sz w:val="24"/>
          <w:szCs w:val="24"/>
        </w:rPr>
        <w:t>2026 and 2027</w:t>
      </w:r>
      <w:r w:rsidRPr="00E224D0">
        <w:rPr>
          <w:rFonts w:ascii="Times New Roman" w:hAnsi="Times New Roman" w:cs="Times New Roman"/>
          <w:sz w:val="24"/>
          <w:szCs w:val="24"/>
        </w:rPr>
        <w:t xml:space="preserve"> to </w:t>
      </w:r>
      <w:r w:rsidR="00EF22A3">
        <w:rPr>
          <w:rFonts w:ascii="Times New Roman" w:hAnsi="Times New Roman" w:cs="Times New Roman"/>
          <w:sz w:val="24"/>
          <w:szCs w:val="24"/>
        </w:rPr>
        <w:t xml:space="preserve">approve two amendments. First, </w:t>
      </w:r>
      <w:r w:rsidR="00EF22A3">
        <w:rPr>
          <w:rFonts w:ascii="Times New Roman" w:eastAsia="Calibri" w:hAnsi="Times New Roman" w:cs="Times New Roman"/>
          <w:sz w:val="24"/>
          <w:szCs w:val="24"/>
        </w:rPr>
        <w:t xml:space="preserve">approve an amendment to </w:t>
      </w:r>
      <w:r w:rsidR="00BE3419">
        <w:rPr>
          <w:rFonts w:ascii="Times New Roman" w:eastAsia="Calibri" w:hAnsi="Times New Roman" w:cs="Times New Roman"/>
          <w:sz w:val="24"/>
          <w:szCs w:val="24"/>
        </w:rPr>
        <w:t xml:space="preserve">allow the Company to add </w:t>
      </w:r>
      <w:r w:rsidR="009909D7">
        <w:rPr>
          <w:rFonts w:ascii="Times New Roman" w:eastAsia="Calibri" w:hAnsi="Times New Roman" w:cs="Times New Roman"/>
          <w:sz w:val="24"/>
          <w:szCs w:val="24"/>
        </w:rPr>
        <w:t>four</w:t>
      </w:r>
      <w:r w:rsidR="00F930F3">
        <w:rPr>
          <w:rFonts w:ascii="Times New Roman" w:eastAsia="Calibri" w:hAnsi="Times New Roman" w:cs="Times New Roman"/>
          <w:sz w:val="24"/>
          <w:szCs w:val="24"/>
        </w:rPr>
        <w:t xml:space="preserve"> (4)</w:t>
      </w:r>
      <w:r w:rsidR="009909D7">
        <w:rPr>
          <w:rFonts w:ascii="Times New Roman" w:eastAsia="Calibri" w:hAnsi="Times New Roman" w:cs="Times New Roman"/>
          <w:sz w:val="24"/>
          <w:szCs w:val="24"/>
        </w:rPr>
        <w:t xml:space="preserve"> </w:t>
      </w:r>
      <w:r w:rsidR="00BE3419">
        <w:rPr>
          <w:rFonts w:ascii="Times New Roman" w:eastAsia="Calibri" w:hAnsi="Times New Roman" w:cs="Times New Roman"/>
          <w:sz w:val="24"/>
          <w:szCs w:val="24"/>
        </w:rPr>
        <w:t>tap stations to the 2025-2034 i-CDP for SRR projects</w:t>
      </w:r>
      <w:r w:rsidR="000D3D82">
        <w:rPr>
          <w:rFonts w:ascii="Times New Roman" w:eastAsia="Calibri" w:hAnsi="Times New Roman" w:cs="Times New Roman"/>
          <w:sz w:val="24"/>
          <w:szCs w:val="24"/>
        </w:rPr>
        <w:t>,</w:t>
      </w:r>
      <w:r w:rsidR="004B08EA">
        <w:rPr>
          <w:rFonts w:ascii="Times New Roman" w:eastAsia="Calibri" w:hAnsi="Times New Roman" w:cs="Times New Roman"/>
          <w:sz w:val="24"/>
          <w:szCs w:val="24"/>
        </w:rPr>
        <w:t xml:space="preserve"> </w:t>
      </w:r>
      <w:r w:rsidRPr="00BD467F" w:rsidR="004B08EA">
        <w:rPr>
          <w:rFonts w:ascii="Times New Roman" w:eastAsia="Calibri" w:hAnsi="Times New Roman" w:cs="Times New Roman"/>
          <w:sz w:val="24"/>
          <w:szCs w:val="24"/>
        </w:rPr>
        <w:t>remov</w:t>
      </w:r>
      <w:r w:rsidRPr="00BD467F" w:rsidR="000D3D82">
        <w:rPr>
          <w:rFonts w:ascii="Times New Roman" w:eastAsia="Calibri" w:hAnsi="Times New Roman" w:cs="Times New Roman"/>
          <w:sz w:val="24"/>
          <w:szCs w:val="24"/>
        </w:rPr>
        <w:t>ing</w:t>
      </w:r>
      <w:r w:rsidRPr="00BD467F" w:rsidR="004B08EA">
        <w:rPr>
          <w:rFonts w:ascii="Times New Roman" w:eastAsia="Calibri" w:hAnsi="Times New Roman" w:cs="Times New Roman"/>
          <w:sz w:val="24"/>
          <w:szCs w:val="24"/>
        </w:rPr>
        <w:t xml:space="preserve"> them from the GRAM capital budget</w:t>
      </w:r>
      <w:r w:rsidRPr="00BD467F" w:rsidR="000D3D82">
        <w:rPr>
          <w:rFonts w:ascii="Times New Roman" w:eastAsia="Calibri" w:hAnsi="Times New Roman" w:cs="Times New Roman"/>
          <w:sz w:val="24"/>
          <w:szCs w:val="24"/>
        </w:rPr>
        <w:t xml:space="preserve"> effective January 1, 2026</w:t>
      </w:r>
      <w:r w:rsidR="000D3D82">
        <w:rPr>
          <w:rFonts w:ascii="Times New Roman" w:eastAsia="Calibri" w:hAnsi="Times New Roman" w:cs="Times New Roman"/>
          <w:sz w:val="24"/>
          <w:szCs w:val="24"/>
        </w:rPr>
        <w:t xml:space="preserve">, and </w:t>
      </w:r>
      <w:r w:rsidR="006B0A1A">
        <w:rPr>
          <w:rFonts w:ascii="Times New Roman" w:eastAsia="Calibri" w:hAnsi="Times New Roman" w:cs="Times New Roman"/>
          <w:sz w:val="24"/>
          <w:szCs w:val="24"/>
        </w:rPr>
        <w:t>t</w:t>
      </w:r>
      <w:r w:rsidR="00E56BC6">
        <w:rPr>
          <w:rFonts w:ascii="Times New Roman" w:eastAsia="Calibri" w:hAnsi="Times New Roman" w:cs="Times New Roman"/>
          <w:sz w:val="24"/>
          <w:szCs w:val="24"/>
        </w:rPr>
        <w:t xml:space="preserve">he Company requests the Commission approve the upgrade of the Riverdale LNG </w:t>
      </w:r>
      <w:r w:rsidR="009E5872">
        <w:rPr>
          <w:rFonts w:ascii="Times New Roman" w:eastAsia="Calibri" w:hAnsi="Times New Roman" w:cs="Times New Roman"/>
          <w:sz w:val="24"/>
          <w:szCs w:val="24"/>
        </w:rPr>
        <w:t>tap meter</w:t>
      </w:r>
      <w:r w:rsidR="00E56BC6">
        <w:rPr>
          <w:rFonts w:ascii="Times New Roman" w:eastAsia="Calibri" w:hAnsi="Times New Roman" w:cs="Times New Roman"/>
          <w:sz w:val="24"/>
          <w:szCs w:val="24"/>
        </w:rPr>
        <w:t xml:space="preserve"> to be recovered in the SRR and removed from the GRAM. </w:t>
      </w:r>
      <w:r w:rsidR="00EF22A3">
        <w:rPr>
          <w:rFonts w:ascii="Times New Roman" w:eastAsia="Calibri" w:hAnsi="Times New Roman" w:cs="Times New Roman"/>
          <w:sz w:val="24"/>
          <w:szCs w:val="24"/>
        </w:rPr>
        <w:t xml:space="preserve">Second, </w:t>
      </w:r>
      <w:r w:rsidR="008B726B">
        <w:rPr>
          <w:rFonts w:ascii="Times New Roman" w:eastAsia="Calibri" w:hAnsi="Times New Roman" w:cs="Times New Roman"/>
          <w:sz w:val="24"/>
          <w:szCs w:val="24"/>
        </w:rPr>
        <w:t xml:space="preserve">The Company requests the Commission </w:t>
      </w:r>
      <w:r w:rsidR="00EF22A3">
        <w:rPr>
          <w:rFonts w:ascii="Times New Roman" w:eastAsia="Calibri" w:hAnsi="Times New Roman" w:cs="Times New Roman"/>
          <w:sz w:val="24"/>
          <w:szCs w:val="24"/>
        </w:rPr>
        <w:t xml:space="preserve">approve an amendment to allow any capital budget over-spending related to the LNG Tracker to be </w:t>
      </w:r>
      <w:r w:rsidRPr="006C5E6D" w:rsidR="00EF22A3">
        <w:rPr>
          <w:rFonts w:ascii="Times New Roman" w:eastAsia="Calibri" w:hAnsi="Times New Roman" w:cs="Times New Roman"/>
          <w:sz w:val="24"/>
          <w:szCs w:val="24"/>
        </w:rPr>
        <w:t xml:space="preserve">netted against the capital budget under-spending in the GRAM and SRR. </w:t>
      </w:r>
    </w:p>
    <w:p w:rsidR="00E224D0" w:rsidRPr="00E224D0" w:rsidP="00BD467F" w14:paraId="783F8FBE" w14:textId="29281115">
      <w:pPr>
        <w:spacing w:line="480" w:lineRule="auto"/>
        <w:ind w:firstLine="720"/>
        <w:jc w:val="both"/>
        <w:rPr>
          <w:rFonts w:ascii="Times New Roman" w:hAnsi="Times New Roman" w:cs="Times New Roman"/>
          <w:sz w:val="24"/>
          <w:szCs w:val="24"/>
        </w:rPr>
      </w:pPr>
      <w:r w:rsidRPr="006C5E6D">
        <w:rPr>
          <w:rFonts w:ascii="Times New Roman" w:eastAsia="Calibri" w:hAnsi="Times New Roman" w:cs="Times New Roman"/>
          <w:sz w:val="24"/>
          <w:szCs w:val="24"/>
        </w:rPr>
        <w:t>The amendments requested by the Company are unique circumstances and ha</w:t>
      </w:r>
      <w:r w:rsidRPr="006C5E6D" w:rsidR="006109C9">
        <w:rPr>
          <w:rFonts w:ascii="Times New Roman" w:eastAsia="Calibri" w:hAnsi="Times New Roman" w:cs="Times New Roman"/>
          <w:sz w:val="24"/>
          <w:szCs w:val="24"/>
        </w:rPr>
        <w:t>ve</w:t>
      </w:r>
      <w:r w:rsidRPr="006C5E6D">
        <w:rPr>
          <w:rFonts w:ascii="Times New Roman" w:eastAsia="Calibri" w:hAnsi="Times New Roman" w:cs="Times New Roman"/>
          <w:sz w:val="24"/>
          <w:szCs w:val="24"/>
        </w:rPr>
        <w:t xml:space="preserve"> never been requested in the past. This request does not constitute a precedent for any future i-CDP requests. </w:t>
      </w:r>
    </w:p>
    <w:p w:rsidR="001E0811" w:rsidP="00BD467F" w14:paraId="397A609D" w14:textId="3DA3EB10">
      <w:pPr>
        <w:suppressLineNumbers/>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Submitted this </w:t>
      </w:r>
      <w:r w:rsidR="000C4C8D">
        <w:rPr>
          <w:rFonts w:ascii="Times New Roman" w:hAnsi="Times New Roman" w:cs="Times New Roman"/>
          <w:sz w:val="24"/>
          <w:szCs w:val="24"/>
        </w:rPr>
        <w:t>1</w:t>
      </w:r>
      <w:r w:rsidR="00B55361">
        <w:rPr>
          <w:rFonts w:ascii="Times New Roman" w:hAnsi="Times New Roman" w:cs="Times New Roman"/>
          <w:sz w:val="24"/>
          <w:szCs w:val="24"/>
        </w:rPr>
        <w:t>4</w:t>
      </w:r>
      <w:r w:rsidR="000C4C8D">
        <w:rPr>
          <w:rFonts w:ascii="Times New Roman" w:hAnsi="Times New Roman" w:cs="Times New Roman"/>
          <w:sz w:val="24"/>
          <w:szCs w:val="24"/>
        </w:rPr>
        <w:t>th</w:t>
      </w:r>
      <w:r w:rsidR="00D61403">
        <w:rPr>
          <w:rFonts w:ascii="Times New Roman" w:hAnsi="Times New Roman" w:cs="Times New Roman"/>
          <w:sz w:val="24"/>
          <w:szCs w:val="24"/>
        </w:rPr>
        <w:t xml:space="preserve"> </w:t>
      </w:r>
      <w:r w:rsidR="00ED7E9B">
        <w:rPr>
          <w:rFonts w:ascii="Times New Roman" w:hAnsi="Times New Roman" w:cs="Times New Roman"/>
          <w:sz w:val="24"/>
          <w:szCs w:val="24"/>
        </w:rPr>
        <w:t xml:space="preserve">day of </w:t>
      </w:r>
      <w:r w:rsidR="000C4C8D">
        <w:rPr>
          <w:rFonts w:ascii="Times New Roman" w:hAnsi="Times New Roman" w:cs="Times New Roman"/>
          <w:sz w:val="24"/>
          <w:szCs w:val="24"/>
        </w:rPr>
        <w:t>May</w:t>
      </w:r>
      <w:r w:rsidR="007443D9">
        <w:rPr>
          <w:rFonts w:ascii="Times New Roman" w:hAnsi="Times New Roman" w:cs="Times New Roman"/>
          <w:sz w:val="24"/>
          <w:szCs w:val="24"/>
        </w:rPr>
        <w:t xml:space="preserve"> 202</w:t>
      </w:r>
      <w:r w:rsidR="004C6577">
        <w:rPr>
          <w:rFonts w:ascii="Times New Roman" w:hAnsi="Times New Roman" w:cs="Times New Roman"/>
          <w:sz w:val="24"/>
          <w:szCs w:val="24"/>
        </w:rPr>
        <w:t>6</w:t>
      </w:r>
      <w:r>
        <w:rPr>
          <w:rFonts w:ascii="Times New Roman" w:hAnsi="Times New Roman" w:cs="Times New Roman"/>
          <w:sz w:val="24"/>
          <w:szCs w:val="24"/>
        </w:rPr>
        <w:t>.</w:t>
      </w:r>
    </w:p>
    <w:p w:rsidR="001E0811" w:rsidRPr="001E0811" w:rsidP="001E0811" w14:paraId="26D932CA" w14:textId="0DEBA1C2">
      <w:pPr>
        <w:autoSpaceDE w:val="0"/>
        <w:autoSpaceDN w:val="0"/>
        <w:adjustRightInd w:val="0"/>
        <w:ind w:left="3600" w:firstLine="1350"/>
        <w:jc w:val="both"/>
        <w:rPr>
          <w:rFonts w:ascii="Times New Roman" w:hAnsi="Times New Roman" w:cs="Times New Roman"/>
          <w:b/>
          <w:sz w:val="24"/>
          <w:szCs w:val="24"/>
        </w:rPr>
      </w:pPr>
      <w:r w:rsidRPr="001E0811">
        <w:rPr>
          <w:rFonts w:ascii="Times New Roman" w:hAnsi="Times New Roman" w:cs="Times New Roman"/>
          <w:b/>
          <w:sz w:val="24"/>
          <w:szCs w:val="24"/>
        </w:rPr>
        <w:t>HOLLAND &amp; KNIGHT LLP</w:t>
      </w:r>
    </w:p>
    <w:p w:rsidR="001E0811" w:rsidRPr="001E0811" w:rsidP="001E0811" w14:paraId="757E3B5B" w14:textId="23A94102">
      <w:pPr>
        <w:autoSpaceDE w:val="0"/>
        <w:autoSpaceDN w:val="0"/>
        <w:adjustRightInd w:val="0"/>
        <w:ind w:firstLine="1350"/>
        <w:jc w:val="both"/>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3067050</wp:posOffset>
            </wp:positionH>
            <wp:positionV relativeFrom="paragraph">
              <wp:posOffset>125095</wp:posOffset>
            </wp:positionV>
            <wp:extent cx="2342695" cy="565150"/>
            <wp:effectExtent l="0" t="0" r="635" b="6350"/>
            <wp:wrapNone/>
            <wp:docPr id="13704397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439786" name="Picture 1370439786"/>
                    <pic:cNvPicPr/>
                  </pic:nvPicPr>
                  <pic:blipFill>
                    <a:blip xmlns:r="http://schemas.openxmlformats.org/officeDocument/2006/relationships" r:embed="rId10" cstate="print">
                      <a:extLst>
                        <a:ext xmlns:a="http://schemas.openxmlformats.org/drawingml/2006/main" uri="{28A0092B-C50C-407E-A947-70E740481C1C}">
                          <a14:useLocalDpi xmlns:a14="http://schemas.microsoft.com/office/drawing/2010/main" val="0"/>
                        </a:ext>
                      </a:extLst>
                    </a:blip>
                    <a:stretch>
                      <a:fillRect/>
                    </a:stretch>
                  </pic:blipFill>
                  <pic:spPr>
                    <a:xfrm>
                      <a:off x="0" y="0"/>
                      <a:ext cx="2342695" cy="565150"/>
                    </a:xfrm>
                    <a:prstGeom prst="rect">
                      <a:avLst/>
                    </a:prstGeom>
                  </pic:spPr>
                </pic:pic>
              </a:graphicData>
            </a:graphic>
          </wp:anchor>
        </w:drawing>
      </w:r>
    </w:p>
    <w:p w:rsidR="001E0811" w:rsidRPr="001E0811" w:rsidP="001E0811" w14:paraId="06B8194F" w14:textId="77777777">
      <w:pPr>
        <w:autoSpaceDE w:val="0"/>
        <w:autoSpaceDN w:val="0"/>
        <w:adjustRightInd w:val="0"/>
        <w:ind w:firstLine="1350"/>
        <w:jc w:val="both"/>
        <w:rPr>
          <w:rFonts w:ascii="Times New Roman" w:hAnsi="Times New Roman" w:cs="Times New Roman"/>
          <w:sz w:val="24"/>
          <w:szCs w:val="24"/>
        </w:rPr>
      </w:pPr>
    </w:p>
    <w:p w:rsidR="001E0811" w:rsidRPr="001E0811" w:rsidP="001E0811" w14:paraId="5FAF99EE" w14:textId="77777777">
      <w:pPr>
        <w:autoSpaceDE w:val="0"/>
        <w:autoSpaceDN w:val="0"/>
        <w:adjustRightInd w:val="0"/>
        <w:ind w:firstLine="1350"/>
        <w:jc w:val="both"/>
        <w:rPr>
          <w:rFonts w:ascii="Times New Roman" w:hAnsi="Times New Roman" w:cs="Times New Roman"/>
          <w:sz w:val="24"/>
          <w:szCs w:val="24"/>
        </w:rPr>
      </w:pPr>
      <w:r w:rsidRPr="001E0811">
        <w:rPr>
          <w:rFonts w:ascii="Times New Roman" w:hAnsi="Times New Roman" w:cs="Times New Roman"/>
          <w:sz w:val="24"/>
          <w:szCs w:val="24"/>
        </w:rPr>
        <w:tab/>
      </w:r>
      <w:r w:rsidRPr="001E0811">
        <w:rPr>
          <w:rFonts w:ascii="Times New Roman" w:hAnsi="Times New Roman" w:cs="Times New Roman"/>
          <w:sz w:val="24"/>
          <w:szCs w:val="24"/>
        </w:rPr>
        <w:tab/>
      </w:r>
      <w:r w:rsidRPr="001E0811">
        <w:rPr>
          <w:rFonts w:ascii="Times New Roman" w:hAnsi="Times New Roman" w:cs="Times New Roman"/>
          <w:sz w:val="24"/>
          <w:szCs w:val="24"/>
        </w:rPr>
        <w:tab/>
      </w:r>
      <w:r w:rsidRPr="001E0811">
        <w:rPr>
          <w:rFonts w:ascii="Times New Roman" w:hAnsi="Times New Roman" w:cs="Times New Roman"/>
          <w:sz w:val="24"/>
          <w:szCs w:val="24"/>
        </w:rPr>
        <w:tab/>
      </w:r>
      <w:r w:rsidRPr="001E0811">
        <w:rPr>
          <w:rFonts w:ascii="Times New Roman" w:hAnsi="Times New Roman" w:cs="Times New Roman"/>
          <w:sz w:val="24"/>
          <w:szCs w:val="24"/>
        </w:rPr>
        <w:tab/>
      </w:r>
      <w:r w:rsidRPr="001E0811">
        <w:rPr>
          <w:rFonts w:ascii="Times New Roman" w:hAnsi="Times New Roman" w:cs="Times New Roman"/>
          <w:sz w:val="24"/>
          <w:szCs w:val="24"/>
        </w:rPr>
        <w:tab/>
        <w:t>________________________</w:t>
      </w:r>
    </w:p>
    <w:p w:rsidR="001E0811" w:rsidRPr="001E0811" w:rsidP="001E0811" w14:paraId="6EB11C12" w14:textId="77777777">
      <w:pPr>
        <w:autoSpaceDE w:val="0"/>
        <w:autoSpaceDN w:val="0"/>
        <w:adjustRightInd w:val="0"/>
        <w:ind w:firstLine="1350"/>
        <w:jc w:val="both"/>
        <w:rPr>
          <w:rFonts w:ascii="Times New Roman" w:hAnsi="Times New Roman" w:cs="Times New Roman"/>
          <w:sz w:val="24"/>
          <w:szCs w:val="24"/>
        </w:rPr>
      </w:pPr>
      <w:r w:rsidRPr="001E0811">
        <w:rPr>
          <w:rFonts w:ascii="Times New Roman" w:hAnsi="Times New Roman" w:cs="Times New Roman"/>
          <w:sz w:val="24"/>
          <w:szCs w:val="24"/>
        </w:rPr>
        <w:tab/>
      </w:r>
      <w:r w:rsidRPr="001E0811">
        <w:rPr>
          <w:rFonts w:ascii="Times New Roman" w:hAnsi="Times New Roman" w:cs="Times New Roman"/>
          <w:sz w:val="24"/>
          <w:szCs w:val="24"/>
        </w:rPr>
        <w:tab/>
      </w:r>
      <w:r w:rsidRPr="001E0811">
        <w:rPr>
          <w:rFonts w:ascii="Times New Roman" w:hAnsi="Times New Roman" w:cs="Times New Roman"/>
          <w:sz w:val="24"/>
          <w:szCs w:val="24"/>
        </w:rPr>
        <w:tab/>
      </w:r>
      <w:r w:rsidRPr="001E0811">
        <w:rPr>
          <w:rFonts w:ascii="Times New Roman" w:hAnsi="Times New Roman" w:cs="Times New Roman"/>
          <w:sz w:val="24"/>
          <w:szCs w:val="24"/>
        </w:rPr>
        <w:tab/>
      </w:r>
      <w:r w:rsidRPr="001E0811">
        <w:rPr>
          <w:rFonts w:ascii="Times New Roman" w:hAnsi="Times New Roman" w:cs="Times New Roman"/>
          <w:sz w:val="24"/>
          <w:szCs w:val="24"/>
        </w:rPr>
        <w:tab/>
      </w:r>
      <w:r w:rsidRPr="001E0811">
        <w:rPr>
          <w:rFonts w:ascii="Times New Roman" w:hAnsi="Times New Roman" w:cs="Times New Roman"/>
          <w:sz w:val="24"/>
          <w:szCs w:val="24"/>
        </w:rPr>
        <w:tab/>
        <w:t>Robert S. Highsmith Jr.</w:t>
      </w:r>
    </w:p>
    <w:p w:rsidR="001E0811" w:rsidRPr="001E0811" w:rsidP="001E0811" w14:paraId="1B8ECBDD" w14:textId="77777777">
      <w:pPr>
        <w:autoSpaceDE w:val="0"/>
        <w:autoSpaceDN w:val="0"/>
        <w:adjustRightInd w:val="0"/>
        <w:ind w:firstLine="1350"/>
        <w:jc w:val="both"/>
        <w:rPr>
          <w:rFonts w:ascii="Times New Roman" w:hAnsi="Times New Roman" w:cs="Times New Roman"/>
          <w:sz w:val="24"/>
          <w:szCs w:val="24"/>
        </w:rPr>
      </w:pPr>
      <w:r w:rsidRPr="001E0811">
        <w:rPr>
          <w:rFonts w:ascii="Times New Roman" w:hAnsi="Times New Roman" w:cs="Times New Roman"/>
          <w:sz w:val="24"/>
          <w:szCs w:val="24"/>
        </w:rPr>
        <w:tab/>
      </w:r>
      <w:r w:rsidRPr="001E0811">
        <w:rPr>
          <w:rFonts w:ascii="Times New Roman" w:hAnsi="Times New Roman" w:cs="Times New Roman"/>
          <w:sz w:val="24"/>
          <w:szCs w:val="24"/>
        </w:rPr>
        <w:tab/>
      </w:r>
      <w:r w:rsidRPr="001E0811">
        <w:rPr>
          <w:rFonts w:ascii="Times New Roman" w:hAnsi="Times New Roman" w:cs="Times New Roman"/>
          <w:sz w:val="24"/>
          <w:szCs w:val="24"/>
        </w:rPr>
        <w:tab/>
      </w:r>
      <w:r w:rsidRPr="001E0811">
        <w:rPr>
          <w:rFonts w:ascii="Times New Roman" w:hAnsi="Times New Roman" w:cs="Times New Roman"/>
          <w:sz w:val="24"/>
          <w:szCs w:val="24"/>
        </w:rPr>
        <w:tab/>
      </w:r>
      <w:r w:rsidRPr="001E0811">
        <w:rPr>
          <w:rFonts w:ascii="Times New Roman" w:hAnsi="Times New Roman" w:cs="Times New Roman"/>
          <w:sz w:val="24"/>
          <w:szCs w:val="24"/>
        </w:rPr>
        <w:tab/>
      </w:r>
      <w:r w:rsidRPr="001E0811">
        <w:rPr>
          <w:rFonts w:ascii="Times New Roman" w:hAnsi="Times New Roman" w:cs="Times New Roman"/>
          <w:sz w:val="24"/>
          <w:szCs w:val="24"/>
        </w:rPr>
        <w:tab/>
        <w:t>State Bar of Georgia No. 352777</w:t>
      </w:r>
    </w:p>
    <w:p w:rsidR="001E0811" w:rsidRPr="001E0811" w:rsidP="001E0811" w14:paraId="502F915C" w14:textId="77777777">
      <w:pPr>
        <w:autoSpaceDE w:val="0"/>
        <w:autoSpaceDN w:val="0"/>
        <w:adjustRightInd w:val="0"/>
        <w:ind w:firstLine="1350"/>
        <w:jc w:val="both"/>
        <w:rPr>
          <w:rFonts w:ascii="Times New Roman" w:hAnsi="Times New Roman" w:cs="Times New Roman"/>
          <w:sz w:val="24"/>
          <w:szCs w:val="24"/>
        </w:rPr>
      </w:pPr>
      <w:r w:rsidRPr="001E0811">
        <w:rPr>
          <w:rFonts w:ascii="Times New Roman" w:hAnsi="Times New Roman" w:cs="Times New Roman"/>
          <w:sz w:val="24"/>
          <w:szCs w:val="24"/>
        </w:rPr>
        <w:tab/>
      </w:r>
      <w:r w:rsidRPr="001E0811">
        <w:rPr>
          <w:rFonts w:ascii="Times New Roman" w:hAnsi="Times New Roman" w:cs="Times New Roman"/>
          <w:sz w:val="24"/>
          <w:szCs w:val="24"/>
        </w:rPr>
        <w:tab/>
      </w:r>
      <w:r w:rsidRPr="001E0811">
        <w:rPr>
          <w:rFonts w:ascii="Times New Roman" w:hAnsi="Times New Roman" w:cs="Times New Roman"/>
          <w:sz w:val="24"/>
          <w:szCs w:val="24"/>
        </w:rPr>
        <w:tab/>
      </w:r>
      <w:r w:rsidRPr="001E0811">
        <w:rPr>
          <w:rFonts w:ascii="Times New Roman" w:hAnsi="Times New Roman" w:cs="Times New Roman"/>
          <w:sz w:val="24"/>
          <w:szCs w:val="24"/>
        </w:rPr>
        <w:tab/>
      </w:r>
      <w:r w:rsidRPr="001E0811">
        <w:rPr>
          <w:rFonts w:ascii="Times New Roman" w:hAnsi="Times New Roman" w:cs="Times New Roman"/>
          <w:sz w:val="24"/>
          <w:szCs w:val="24"/>
        </w:rPr>
        <w:tab/>
      </w:r>
      <w:r w:rsidRPr="001E0811">
        <w:rPr>
          <w:rFonts w:ascii="Times New Roman" w:hAnsi="Times New Roman" w:cs="Times New Roman"/>
          <w:sz w:val="24"/>
          <w:szCs w:val="24"/>
        </w:rPr>
        <w:tab/>
        <w:t>Lindsey Sciavicco Williamson</w:t>
      </w:r>
    </w:p>
    <w:p w:rsidR="001E0811" w:rsidRPr="001E0811" w:rsidP="001E0811" w14:paraId="4BE8597A" w14:textId="77777777">
      <w:pPr>
        <w:autoSpaceDE w:val="0"/>
        <w:autoSpaceDN w:val="0"/>
        <w:adjustRightInd w:val="0"/>
        <w:ind w:firstLine="1350"/>
        <w:jc w:val="both"/>
        <w:rPr>
          <w:rFonts w:ascii="Times New Roman" w:hAnsi="Times New Roman" w:cs="Times New Roman"/>
          <w:sz w:val="24"/>
          <w:szCs w:val="24"/>
        </w:rPr>
      </w:pPr>
      <w:r w:rsidRPr="001E0811">
        <w:rPr>
          <w:rFonts w:ascii="Times New Roman" w:hAnsi="Times New Roman" w:cs="Times New Roman"/>
          <w:sz w:val="24"/>
          <w:szCs w:val="24"/>
        </w:rPr>
        <w:tab/>
      </w:r>
      <w:r w:rsidRPr="001E0811">
        <w:rPr>
          <w:rFonts w:ascii="Times New Roman" w:hAnsi="Times New Roman" w:cs="Times New Roman"/>
          <w:sz w:val="24"/>
          <w:szCs w:val="24"/>
        </w:rPr>
        <w:tab/>
      </w:r>
      <w:r w:rsidRPr="001E0811">
        <w:rPr>
          <w:rFonts w:ascii="Times New Roman" w:hAnsi="Times New Roman" w:cs="Times New Roman"/>
          <w:sz w:val="24"/>
          <w:szCs w:val="24"/>
        </w:rPr>
        <w:tab/>
      </w:r>
      <w:r w:rsidRPr="001E0811">
        <w:rPr>
          <w:rFonts w:ascii="Times New Roman" w:hAnsi="Times New Roman" w:cs="Times New Roman"/>
          <w:sz w:val="24"/>
          <w:szCs w:val="24"/>
        </w:rPr>
        <w:tab/>
      </w:r>
      <w:r w:rsidRPr="001E0811">
        <w:rPr>
          <w:rFonts w:ascii="Times New Roman" w:hAnsi="Times New Roman" w:cs="Times New Roman"/>
          <w:sz w:val="24"/>
          <w:szCs w:val="24"/>
        </w:rPr>
        <w:tab/>
      </w:r>
      <w:r w:rsidRPr="001E0811">
        <w:rPr>
          <w:rFonts w:ascii="Times New Roman" w:hAnsi="Times New Roman" w:cs="Times New Roman"/>
          <w:sz w:val="24"/>
          <w:szCs w:val="24"/>
        </w:rPr>
        <w:tab/>
        <w:t>State Bar of Georgia No. 783366</w:t>
      </w:r>
    </w:p>
    <w:p w:rsidR="001E0811" w:rsidRPr="001E0811" w:rsidP="001E0811" w14:paraId="2BBD7C1B" w14:textId="77777777">
      <w:pPr>
        <w:autoSpaceDE w:val="0"/>
        <w:autoSpaceDN w:val="0"/>
        <w:adjustRightInd w:val="0"/>
        <w:ind w:left="3600" w:firstLine="1350"/>
        <w:jc w:val="both"/>
        <w:rPr>
          <w:rFonts w:ascii="Times New Roman" w:hAnsi="Times New Roman" w:cs="Times New Roman"/>
          <w:i/>
          <w:sz w:val="24"/>
          <w:szCs w:val="24"/>
        </w:rPr>
      </w:pPr>
    </w:p>
    <w:p w:rsidR="001E0811" w:rsidRPr="001E0811" w:rsidP="001E0811" w14:paraId="1F4EE908" w14:textId="77777777">
      <w:pPr>
        <w:autoSpaceDE w:val="0"/>
        <w:autoSpaceDN w:val="0"/>
        <w:adjustRightInd w:val="0"/>
        <w:ind w:left="3600" w:firstLine="1350"/>
        <w:jc w:val="both"/>
        <w:rPr>
          <w:rFonts w:ascii="Times New Roman" w:hAnsi="Times New Roman" w:cs="Times New Roman"/>
          <w:i/>
          <w:sz w:val="24"/>
          <w:szCs w:val="24"/>
        </w:rPr>
      </w:pPr>
      <w:r w:rsidRPr="001E0811">
        <w:rPr>
          <w:rFonts w:ascii="Times New Roman" w:hAnsi="Times New Roman" w:cs="Times New Roman"/>
          <w:i/>
          <w:sz w:val="24"/>
          <w:szCs w:val="24"/>
        </w:rPr>
        <w:t xml:space="preserve"> Counsel for Atlanta Gas Light Company</w:t>
      </w:r>
    </w:p>
    <w:p w:rsidR="001E0811" w:rsidRPr="001E0811" w:rsidP="001E0811" w14:paraId="327044C9" w14:textId="77777777">
      <w:pPr>
        <w:autoSpaceDE w:val="0"/>
        <w:autoSpaceDN w:val="0"/>
        <w:adjustRightInd w:val="0"/>
        <w:jc w:val="both"/>
        <w:rPr>
          <w:rFonts w:ascii="Times New Roman" w:hAnsi="Times New Roman" w:cs="Times New Roman"/>
          <w:sz w:val="24"/>
          <w:szCs w:val="24"/>
        </w:rPr>
      </w:pPr>
      <w:r w:rsidRPr="001E0811">
        <w:rPr>
          <w:rFonts w:ascii="Times New Roman" w:hAnsi="Times New Roman" w:cs="Times New Roman"/>
          <w:sz w:val="24"/>
          <w:szCs w:val="24"/>
        </w:rPr>
        <w:t>Regions Plaza, Suite 1800</w:t>
      </w:r>
    </w:p>
    <w:p w:rsidR="001E0811" w:rsidRPr="001E0811" w:rsidP="001E0811" w14:paraId="180B9C87" w14:textId="77777777">
      <w:pPr>
        <w:autoSpaceDE w:val="0"/>
        <w:autoSpaceDN w:val="0"/>
        <w:adjustRightInd w:val="0"/>
        <w:jc w:val="both"/>
        <w:rPr>
          <w:rFonts w:ascii="Times New Roman" w:hAnsi="Times New Roman" w:cs="Times New Roman"/>
          <w:sz w:val="24"/>
          <w:szCs w:val="24"/>
        </w:rPr>
      </w:pPr>
      <w:r w:rsidRPr="001E0811">
        <w:rPr>
          <w:rFonts w:ascii="Times New Roman" w:hAnsi="Times New Roman" w:cs="Times New Roman"/>
          <w:sz w:val="24"/>
          <w:szCs w:val="24"/>
        </w:rPr>
        <w:t>1180 W. Peachtree Street, N.W.</w:t>
      </w:r>
    </w:p>
    <w:p w:rsidR="001E0811" w:rsidRPr="001E0811" w:rsidP="001E0811" w14:paraId="1080A1CA" w14:textId="3474B3D1">
      <w:pPr>
        <w:autoSpaceDE w:val="0"/>
        <w:autoSpaceDN w:val="0"/>
        <w:adjustRightInd w:val="0"/>
        <w:jc w:val="both"/>
        <w:rPr>
          <w:rFonts w:ascii="Times New Roman" w:hAnsi="Times New Roman" w:cs="Times New Roman"/>
          <w:sz w:val="24"/>
          <w:szCs w:val="24"/>
        </w:rPr>
      </w:pPr>
      <w:r w:rsidRPr="001E0811">
        <w:rPr>
          <w:rFonts w:ascii="Times New Roman" w:hAnsi="Times New Roman" w:cs="Times New Roman"/>
          <w:sz w:val="24"/>
          <w:szCs w:val="24"/>
        </w:rPr>
        <w:t>Atlanta, Georgia 30309</w:t>
      </w:r>
    </w:p>
    <w:p w:rsidR="001E0811" w:rsidRPr="001E0811" w:rsidP="001E0811" w14:paraId="31CB8572" w14:textId="77777777">
      <w:pPr>
        <w:autoSpaceDE w:val="0"/>
        <w:autoSpaceDN w:val="0"/>
        <w:adjustRightInd w:val="0"/>
        <w:jc w:val="both"/>
        <w:rPr>
          <w:rFonts w:ascii="Times New Roman" w:hAnsi="Times New Roman" w:cs="Times New Roman"/>
          <w:sz w:val="24"/>
          <w:szCs w:val="24"/>
        </w:rPr>
      </w:pPr>
      <w:r w:rsidRPr="001E0811">
        <w:rPr>
          <w:rFonts w:ascii="Times New Roman" w:hAnsi="Times New Roman" w:cs="Times New Roman"/>
          <w:sz w:val="24"/>
          <w:szCs w:val="24"/>
        </w:rPr>
        <w:t>Tel. 404.817.8500</w:t>
      </w:r>
    </w:p>
    <w:p w:rsidR="001E0811" w:rsidRPr="001E0811" w:rsidP="001E0811" w14:paraId="67CB2FB1" w14:textId="77777777">
      <w:pPr>
        <w:autoSpaceDE w:val="0"/>
        <w:autoSpaceDN w:val="0"/>
        <w:adjustRightInd w:val="0"/>
        <w:jc w:val="both"/>
        <w:rPr>
          <w:rFonts w:ascii="Times New Roman" w:hAnsi="Times New Roman" w:cs="Times New Roman"/>
          <w:sz w:val="24"/>
          <w:szCs w:val="24"/>
        </w:rPr>
      </w:pPr>
      <w:r w:rsidRPr="001E0811">
        <w:rPr>
          <w:rFonts w:ascii="Times New Roman" w:hAnsi="Times New Roman" w:cs="Times New Roman"/>
          <w:sz w:val="24"/>
          <w:szCs w:val="24"/>
        </w:rPr>
        <w:t xml:space="preserve">robert.highsmith@hklaw.com </w:t>
      </w:r>
    </w:p>
    <w:p w:rsidR="004B25F0" w:rsidP="001E0811" w14:paraId="78F18BDD" w14:textId="77777777">
      <w:pPr>
        <w:autoSpaceDE w:val="0"/>
        <w:autoSpaceDN w:val="0"/>
        <w:adjustRightInd w:val="0"/>
        <w:jc w:val="both"/>
        <w:rPr>
          <w:rFonts w:ascii="Times New Roman" w:hAnsi="Times New Roman" w:cs="Times New Roman"/>
          <w:b/>
          <w:sz w:val="24"/>
          <w:szCs w:val="24"/>
          <w:u w:val="single"/>
        </w:rPr>
      </w:pPr>
      <w:r w:rsidRPr="001E0811">
        <w:rPr>
          <w:rFonts w:ascii="Times New Roman" w:hAnsi="Times New Roman" w:cs="Times New Roman"/>
          <w:sz w:val="24"/>
          <w:szCs w:val="24"/>
        </w:rPr>
        <w:t>lindsey.williamson@hklaw.com</w:t>
      </w:r>
    </w:p>
    <w:p w:rsidR="00F31E7B" w:rsidP="00AE17D5" w14:paraId="658F9312" w14:textId="77777777">
      <w:pPr>
        <w:suppressLineNumbers/>
        <w:spacing w:line="360" w:lineRule="auto"/>
        <w:ind w:firstLine="720"/>
        <w:jc w:val="both"/>
        <w:sectPr w:rsidSect="00855709">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pPr>
    </w:p>
    <w:p w:rsidR="00AE17D5" w:rsidRPr="00F31E7B" w:rsidP="00F31E7B" w14:paraId="500A080F" w14:textId="4685809A">
      <w:pPr>
        <w:suppressLineNumbers/>
        <w:spacing w:line="360" w:lineRule="auto"/>
        <w:ind w:firstLine="720"/>
        <w:jc w:val="center"/>
        <w:rPr>
          <w:rFonts w:ascii="Times New Roman" w:hAnsi="Times New Roman" w:cs="Times New Roman"/>
          <w:b/>
          <w:bCs/>
        </w:rPr>
      </w:pPr>
      <w:r w:rsidRPr="00F31E7B">
        <w:rPr>
          <w:rFonts w:ascii="Times New Roman" w:hAnsi="Times New Roman" w:cs="Times New Roman"/>
          <w:b/>
          <w:bCs/>
        </w:rPr>
        <w:t>ATTACHMENT 1</w:t>
      </w:r>
    </w:p>
    <w:p w:rsidR="00F31E7B" w:rsidRPr="00F31E7B" w:rsidP="00F31E7B" w14:paraId="2BE3FE38" w14:textId="77777777">
      <w:pPr>
        <w:suppressLineNumbers/>
        <w:spacing w:line="360" w:lineRule="auto"/>
        <w:ind w:firstLine="720"/>
        <w:jc w:val="center"/>
        <w:rPr>
          <w:b/>
          <w:bCs/>
        </w:rPr>
      </w:pPr>
    </w:p>
    <w:p w:rsidR="00F31E7B" w:rsidP="00F31E7B" w14:paraId="649C6ADB" w14:textId="6818CFF3">
      <w:pPr>
        <w:suppressLineNumbers/>
        <w:spacing w:line="360" w:lineRule="auto"/>
        <w:ind w:firstLine="720"/>
        <w:jc w:val="center"/>
      </w:pPr>
      <w:r w:rsidRPr="00737D5B">
        <w:rPr>
          <w:noProof/>
        </w:rPr>
        <w:drawing>
          <wp:anchor distT="0" distB="0" distL="114300" distR="114300" simplePos="0" relativeHeight="251658240" behindDoc="0" locked="0" layoutInCell="1" allowOverlap="1">
            <wp:simplePos x="0" y="0"/>
            <wp:positionH relativeFrom="margin">
              <wp:align>left</wp:align>
            </wp:positionH>
            <wp:positionV relativeFrom="paragraph">
              <wp:posOffset>255270</wp:posOffset>
            </wp:positionV>
            <wp:extent cx="8362950" cy="1841500"/>
            <wp:effectExtent l="0" t="0" r="0" b="6350"/>
            <wp:wrapSquare wrapText="bothSides"/>
            <wp:docPr id="11222444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244422" name="Picture 2"/>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8362950" cy="18415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F31E7B" w:rsidP="00AE17D5" w14:paraId="5FBC3C75" w14:textId="77777777">
      <w:pPr>
        <w:suppressLineNumbers/>
        <w:spacing w:line="360" w:lineRule="auto"/>
        <w:ind w:firstLine="720"/>
        <w:jc w:val="both"/>
      </w:pPr>
    </w:p>
    <w:sectPr w:rsidSect="00855709">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5C4E55" w14:paraId="09DD400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sdt>
    <w:sdtPr>
      <w:id w:val="-2133158889"/>
      <w:docPartObj>
        <w:docPartGallery w:val="Page Numbers (Bottom of Page)"/>
        <w:docPartUnique/>
      </w:docPartObj>
    </w:sdtPr>
    <w:sdtEndPr>
      <w:rPr>
        <w:noProof/>
      </w:rPr>
    </w:sdtEndPr>
    <w:sdtContent>
      <w:p w:rsidR="007F4F14" w14:paraId="4122EB5B" w14:textId="7777777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712249" w:rsidRPr="001C2AC4" w:rsidP="00712249" w14:paraId="73ABC8DD" w14:textId="77777777">
    <w:pPr>
      <w:pStyle w:val="Footer"/>
      <w:jc w:val="center"/>
      <w:rPr>
        <w:rFonts w:ascii="Times New Roman" w:hAnsi="Times New Roman" w:cs="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5C4E55" w14:paraId="1C6DCC8A"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footnote w:type="separator" w:id="0">
    <w:p w:rsidR="00915736" w14:paraId="6FE4F22C" w14:textId="77777777">
      <w:r>
        <w:separator/>
      </w:r>
    </w:p>
  </w:footnote>
  <w:footnote w:type="continuationSeparator" w:id="1">
    <w:p w:rsidR="00915736" w14:paraId="456868A3" w14:textId="77777777">
      <w:r>
        <w:continuationSeparator/>
      </w:r>
    </w:p>
  </w:footnote>
  <w:footnote w:id="2">
    <w:p w:rsidR="00690F0C" w:rsidRPr="000D5B8A" w:rsidP="00690F0C" w14:paraId="2F579ECE" w14:textId="77777777">
      <w:pPr>
        <w:pStyle w:val="FootnoteText"/>
        <w:jc w:val="both"/>
        <w:rPr>
          <w:sz w:val="24"/>
          <w:szCs w:val="24"/>
        </w:rPr>
      </w:pPr>
      <w:r w:rsidRPr="000D5B8A">
        <w:rPr>
          <w:rStyle w:val="FootnoteReference"/>
          <w:sz w:val="24"/>
          <w:szCs w:val="24"/>
        </w:rPr>
        <w:footnoteRef/>
      </w:r>
      <w:r w:rsidRPr="000D5B8A">
        <w:rPr>
          <w:sz w:val="24"/>
          <w:szCs w:val="24"/>
        </w:rPr>
        <w:t xml:space="preserve"> Order Adopting Stipulation, </w:t>
      </w:r>
      <w:r w:rsidRPr="000D5B8A">
        <w:rPr>
          <w:i/>
          <w:iCs/>
          <w:sz w:val="24"/>
          <w:szCs w:val="24"/>
        </w:rPr>
        <w:t>Atlanta Gas Light Co.’s 202</w:t>
      </w:r>
      <w:r w:rsidRPr="000D5B8A" w:rsidR="007B1213">
        <w:rPr>
          <w:i/>
          <w:iCs/>
          <w:sz w:val="24"/>
          <w:szCs w:val="24"/>
        </w:rPr>
        <w:t>5</w:t>
      </w:r>
      <w:r w:rsidRPr="000D5B8A">
        <w:rPr>
          <w:i/>
          <w:iCs/>
          <w:sz w:val="24"/>
          <w:szCs w:val="24"/>
        </w:rPr>
        <w:t>-203</w:t>
      </w:r>
      <w:r w:rsidRPr="000D5B8A" w:rsidR="007B1213">
        <w:rPr>
          <w:i/>
          <w:iCs/>
          <w:sz w:val="24"/>
          <w:szCs w:val="24"/>
        </w:rPr>
        <w:t>4</w:t>
      </w:r>
      <w:r w:rsidRPr="000D5B8A">
        <w:rPr>
          <w:i/>
          <w:iCs/>
          <w:sz w:val="24"/>
          <w:szCs w:val="24"/>
        </w:rPr>
        <w:t xml:space="preserve"> </w:t>
      </w:r>
      <w:r w:rsidRPr="000D5B8A" w:rsidR="007B1213">
        <w:rPr>
          <w:i/>
          <w:iCs/>
          <w:sz w:val="24"/>
          <w:szCs w:val="24"/>
        </w:rPr>
        <w:t>Integrated</w:t>
      </w:r>
      <w:r w:rsidRPr="000D5B8A">
        <w:rPr>
          <w:i/>
          <w:iCs/>
          <w:sz w:val="24"/>
          <w:szCs w:val="24"/>
        </w:rPr>
        <w:t xml:space="preserve"> Capacity and Delivery Plan</w:t>
      </w:r>
      <w:r w:rsidRPr="000D5B8A">
        <w:rPr>
          <w:sz w:val="24"/>
          <w:szCs w:val="24"/>
        </w:rPr>
        <w:t xml:space="preserve">, Docket No. 43820 (G.P.S.C. </w:t>
      </w:r>
      <w:r w:rsidRPr="000D5B8A" w:rsidR="007B1213">
        <w:rPr>
          <w:sz w:val="24"/>
          <w:szCs w:val="24"/>
        </w:rPr>
        <w:t>July</w:t>
      </w:r>
      <w:r w:rsidRPr="000D5B8A">
        <w:rPr>
          <w:sz w:val="24"/>
          <w:szCs w:val="24"/>
        </w:rPr>
        <w:t xml:space="preserve"> </w:t>
      </w:r>
      <w:r w:rsidRPr="000D5B8A" w:rsidR="007B1213">
        <w:rPr>
          <w:sz w:val="24"/>
          <w:szCs w:val="24"/>
        </w:rPr>
        <w:t>2</w:t>
      </w:r>
      <w:r w:rsidRPr="000D5B8A">
        <w:rPr>
          <w:sz w:val="24"/>
          <w:szCs w:val="24"/>
        </w:rPr>
        <w:t>, 202</w:t>
      </w:r>
      <w:r w:rsidRPr="000D5B8A" w:rsidR="007B1213">
        <w:rPr>
          <w:sz w:val="24"/>
          <w:szCs w:val="24"/>
        </w:rPr>
        <w:t>4</w:t>
      </w:r>
      <w:r w:rsidRPr="000D5B8A">
        <w:rPr>
          <w:sz w:val="24"/>
          <w:szCs w:val="24"/>
        </w:rPr>
        <w:t>) (the “</w:t>
      </w:r>
      <w:r w:rsidRPr="000D5B8A" w:rsidR="007B1213">
        <w:rPr>
          <w:sz w:val="24"/>
          <w:szCs w:val="24"/>
        </w:rPr>
        <w:t>July 2024</w:t>
      </w:r>
      <w:r w:rsidRPr="000D5B8A">
        <w:rPr>
          <w:sz w:val="24"/>
          <w:szCs w:val="24"/>
        </w:rPr>
        <w:t xml:space="preserve"> Order”).</w:t>
      </w:r>
    </w:p>
  </w:footnote>
  <w:footnote w:id="3">
    <w:p w:rsidR="00690F0C" w:rsidRPr="000D5B8A" w:rsidP="00690F0C" w14:paraId="4F741F6D" w14:textId="77777777">
      <w:pPr>
        <w:pStyle w:val="FootnoteText"/>
        <w:jc w:val="both"/>
        <w:rPr>
          <w:sz w:val="24"/>
          <w:szCs w:val="24"/>
        </w:rPr>
      </w:pPr>
      <w:r w:rsidRPr="000D5B8A">
        <w:rPr>
          <w:rStyle w:val="FootnoteReference"/>
          <w:sz w:val="24"/>
          <w:szCs w:val="24"/>
        </w:rPr>
        <w:footnoteRef/>
      </w:r>
      <w:r w:rsidRPr="000D5B8A">
        <w:rPr>
          <w:sz w:val="24"/>
          <w:szCs w:val="24"/>
        </w:rPr>
        <w:t xml:space="preserve"> </w:t>
      </w:r>
      <w:r w:rsidRPr="000D5B8A">
        <w:rPr>
          <w:i/>
          <w:iCs/>
          <w:sz w:val="24"/>
          <w:szCs w:val="24"/>
        </w:rPr>
        <w:t>Id.</w:t>
      </w:r>
    </w:p>
  </w:footnote>
  <w:footnote w:id="4">
    <w:p w:rsidR="00690F0C" w:rsidRPr="000D5B8A" w:rsidP="00690F0C" w14:paraId="34E67A3B" w14:textId="77777777">
      <w:pPr>
        <w:pStyle w:val="FootnoteText"/>
        <w:rPr>
          <w:sz w:val="24"/>
          <w:szCs w:val="24"/>
        </w:rPr>
      </w:pPr>
      <w:r w:rsidRPr="000D5B8A">
        <w:rPr>
          <w:rStyle w:val="FootnoteReference"/>
          <w:sz w:val="24"/>
          <w:szCs w:val="24"/>
        </w:rPr>
        <w:footnoteRef/>
      </w:r>
      <w:r w:rsidRPr="000D5B8A">
        <w:rPr>
          <w:sz w:val="24"/>
          <w:szCs w:val="24"/>
        </w:rPr>
        <w:t xml:space="preserve"> </w:t>
      </w:r>
      <w:r w:rsidR="00E30D96">
        <w:rPr>
          <w:sz w:val="24"/>
          <w:szCs w:val="24"/>
        </w:rPr>
        <w:t xml:space="preserve">Stipulation </w:t>
      </w:r>
      <w:r w:rsidRPr="000D5B8A">
        <w:rPr>
          <w:sz w:val="24"/>
          <w:szCs w:val="24"/>
        </w:rPr>
        <w:t>at 1</w:t>
      </w:r>
      <w:r w:rsidRPr="000D5B8A" w:rsidR="007B1213">
        <w:rPr>
          <w:sz w:val="24"/>
          <w:szCs w:val="24"/>
        </w:rPr>
        <w:t>0</w:t>
      </w:r>
      <w:r w:rsidRPr="000D5B8A">
        <w:rPr>
          <w:sz w:val="24"/>
          <w:szCs w:val="24"/>
        </w:rPr>
        <w:t>.</w:t>
      </w:r>
    </w:p>
  </w:footnote>
  <w:footnote w:id="5">
    <w:p w:rsidR="000D5B8A" w:rsidRPr="000D5B8A" w14:paraId="08EBF6EA" w14:textId="77777777">
      <w:pPr>
        <w:pStyle w:val="FootnoteText"/>
      </w:pPr>
      <w:r w:rsidRPr="000D5B8A">
        <w:rPr>
          <w:rStyle w:val="FootnoteReference"/>
          <w:sz w:val="24"/>
          <w:szCs w:val="24"/>
        </w:rPr>
        <w:footnoteRef/>
      </w:r>
      <w:r w:rsidRPr="000D5B8A">
        <w:rPr>
          <w:sz w:val="24"/>
          <w:szCs w:val="24"/>
        </w:rPr>
        <w:t xml:space="preserve"> </w:t>
      </w:r>
      <w:r w:rsidRPr="000D5B8A">
        <w:rPr>
          <w:i/>
          <w:iCs/>
          <w:sz w:val="24"/>
          <w:szCs w:val="24"/>
        </w:rPr>
        <w:t>Id</w:t>
      </w:r>
      <w:r w:rsidRPr="000D5B8A">
        <w:rPr>
          <w:sz w:val="24"/>
          <w:szCs w:val="24"/>
        </w:rPr>
        <w:t>. at 6.</w:t>
      </w:r>
    </w:p>
  </w:footnote>
  <w:footnote w:id="6">
    <w:p w:rsidR="00191A92" w:rsidP="00BD467F" w14:paraId="605ED781" w14:textId="2DE1461F">
      <w:pPr>
        <w:pStyle w:val="FootnoteText"/>
        <w:jc w:val="both"/>
      </w:pPr>
      <w:r>
        <w:rPr>
          <w:rStyle w:val="FootnoteReference"/>
        </w:rPr>
        <w:footnoteRef/>
      </w:r>
      <w:r>
        <w:t xml:space="preserve"> </w:t>
      </w:r>
      <w:r w:rsidRPr="00997A60">
        <w:rPr>
          <w:sz w:val="24"/>
          <w:szCs w:val="24"/>
        </w:rPr>
        <w:t xml:space="preserve">Federal Energy Regulatory Commission, "South System Expansion 4 Pipeline Project," accessed April 9, 2026, </w:t>
      </w:r>
      <w:hyperlink r:id="rId1" w:history="1">
        <w:r w:rsidRPr="00997A60" w:rsidR="00B67C33">
          <w:rPr>
            <w:sz w:val="24"/>
            <w:szCs w:val="24"/>
          </w:rPr>
          <w:t>https://www.ferc.gov/south-system-expansion-4-pipeline-project</w:t>
        </w:r>
      </w:hyperlink>
      <w:r w:rsidRPr="00997A60">
        <w:rPr>
          <w:sz w:val="24"/>
          <w:szCs w:val="24"/>
        </w:rPr>
        <w:t>.</w:t>
      </w:r>
    </w:p>
    <w:p w:rsidR="00B67C33" w14:paraId="79B7FDA2" w14:textId="77777777">
      <w:pPr>
        <w:pStyle w:val="FootnoteText"/>
      </w:pPr>
    </w:p>
  </w:footnote>
  <w:footnote w:id="7">
    <w:p w:rsidR="00191A92" w14:paraId="6492A2F8" w14:textId="1EA7B406">
      <w:pPr>
        <w:pStyle w:val="FootnoteText"/>
      </w:pPr>
      <w:r>
        <w:rPr>
          <w:rStyle w:val="FootnoteReference"/>
        </w:rPr>
        <w:footnoteRef/>
      </w:r>
      <w:r>
        <w:t xml:space="preserve"> </w:t>
      </w:r>
      <w:r w:rsidRPr="00997A60" w:rsidR="00B67C33">
        <w:rPr>
          <w:sz w:val="24"/>
          <w:szCs w:val="24"/>
        </w:rPr>
        <w:t xml:space="preserve">Kinder Morgan, “South System Expansion 4 Project,” accessed April 9, 2026, </w:t>
      </w:r>
      <w:hyperlink r:id="rId2" w:tgtFrame="_new" w:history="1">
        <w:r w:rsidRPr="00997A60" w:rsidR="00B67C33">
          <w:rPr>
            <w:sz w:val="24"/>
            <w:szCs w:val="24"/>
          </w:rPr>
          <w:t>https://www.kindermorgan.com/Operations/Projects/SSE4-Project-Page</w:t>
        </w:r>
      </w:hyperlink>
      <w:r w:rsidR="00B67C33">
        <w:rPr>
          <w:sz w:val="24"/>
          <w:szCs w:val="24"/>
        </w:rPr>
        <w:t>.</w:t>
      </w:r>
    </w:p>
  </w:footnote>
  <w:footnote w:id="8">
    <w:p w:rsidR="00B67C33" w:rsidRPr="00997A60" w14:paraId="1E5BA9A7" w14:textId="279F869C">
      <w:pPr>
        <w:pStyle w:val="FootnoteText"/>
        <w:rPr>
          <w:sz w:val="24"/>
          <w:szCs w:val="24"/>
        </w:rPr>
      </w:pPr>
      <w:r>
        <w:rPr>
          <w:rStyle w:val="FootnoteReference"/>
        </w:rPr>
        <w:footnoteRef/>
      </w:r>
      <w:r>
        <w:t xml:space="preserve"> </w:t>
      </w:r>
      <w:r w:rsidRPr="00997A60">
        <w:rPr>
          <w:sz w:val="24"/>
          <w:szCs w:val="24"/>
        </w:rPr>
        <w:t xml:space="preserve">The Williams Companies, Southeast Supply Enhancement Fact Sheet (February 19, 2025), </w:t>
      </w:r>
      <w:hyperlink r:id="rId3" w:tgtFrame="_new" w:history="1">
        <w:r w:rsidRPr="00997A60">
          <w:rPr>
            <w:sz w:val="24"/>
            <w:szCs w:val="24"/>
          </w:rPr>
          <w:t>https://www.williams.com/wp-content/uploads/sites/14/2026/01/SSE-Fact-Sheet-2_19_25.pdf</w:t>
        </w:r>
      </w:hyperlink>
      <w:r w:rsidRPr="00997A60">
        <w:rPr>
          <w:sz w:val="24"/>
          <w:szCs w:val="24"/>
        </w:rPr>
        <w:t>.</w:t>
      </w:r>
    </w:p>
  </w:footnote>
  <w:footnote w:id="9">
    <w:p w:rsidR="007C2099" w:rsidP="007C2099" w14:paraId="5F6C1B70" w14:textId="77777777">
      <w:pPr>
        <w:pStyle w:val="FootnoteText"/>
      </w:pPr>
      <w:r>
        <w:rPr>
          <w:rStyle w:val="FootnoteReference"/>
        </w:rPr>
        <w:footnoteRef/>
      </w:r>
      <w:r>
        <w:t xml:space="preserve"> </w:t>
      </w:r>
      <w:r>
        <w:rPr>
          <w:sz w:val="24"/>
          <w:szCs w:val="24"/>
        </w:rPr>
        <w:t xml:space="preserve">Final </w:t>
      </w:r>
      <w:r w:rsidRPr="00A30C89">
        <w:rPr>
          <w:sz w:val="24"/>
          <w:szCs w:val="24"/>
        </w:rPr>
        <w:t xml:space="preserve">Order Adopting </w:t>
      </w:r>
      <w:r>
        <w:rPr>
          <w:sz w:val="24"/>
          <w:szCs w:val="24"/>
        </w:rPr>
        <w:t xml:space="preserve">Parties’ </w:t>
      </w:r>
      <w:r w:rsidRPr="00A30C89">
        <w:rPr>
          <w:sz w:val="24"/>
          <w:szCs w:val="24"/>
        </w:rPr>
        <w:t xml:space="preserve">Stipulation, </w:t>
      </w:r>
      <w:r w:rsidRPr="00A30C89">
        <w:rPr>
          <w:i/>
          <w:iCs/>
          <w:sz w:val="24"/>
          <w:szCs w:val="24"/>
        </w:rPr>
        <w:t>Atlanta Gas Light Co.’s 2025-20</w:t>
      </w:r>
      <w:r>
        <w:rPr>
          <w:i/>
          <w:iCs/>
          <w:sz w:val="24"/>
          <w:szCs w:val="24"/>
        </w:rPr>
        <w:t>28</w:t>
      </w:r>
      <w:r w:rsidRPr="00A30C89">
        <w:rPr>
          <w:i/>
          <w:iCs/>
          <w:sz w:val="24"/>
          <w:szCs w:val="24"/>
        </w:rPr>
        <w:t xml:space="preserve"> Capacity </w:t>
      </w:r>
      <w:r>
        <w:rPr>
          <w:i/>
          <w:iCs/>
          <w:sz w:val="24"/>
          <w:szCs w:val="24"/>
        </w:rPr>
        <w:t xml:space="preserve">Supply </w:t>
      </w:r>
      <w:r w:rsidRPr="00A30C89">
        <w:rPr>
          <w:i/>
          <w:iCs/>
          <w:sz w:val="24"/>
          <w:szCs w:val="24"/>
        </w:rPr>
        <w:t>Plan</w:t>
      </w:r>
      <w:r w:rsidRPr="00A30C89">
        <w:rPr>
          <w:sz w:val="24"/>
          <w:szCs w:val="24"/>
        </w:rPr>
        <w:t xml:space="preserve">, Docket No. </w:t>
      </w:r>
      <w:r>
        <w:rPr>
          <w:sz w:val="24"/>
          <w:szCs w:val="24"/>
        </w:rPr>
        <w:t>56177</w:t>
      </w:r>
      <w:r w:rsidRPr="00A30C89">
        <w:rPr>
          <w:sz w:val="24"/>
          <w:szCs w:val="24"/>
        </w:rPr>
        <w:t xml:space="preserve"> (G.P.S.C. </w:t>
      </w:r>
      <w:r>
        <w:rPr>
          <w:sz w:val="24"/>
          <w:szCs w:val="24"/>
        </w:rPr>
        <w:t>Sept.</w:t>
      </w:r>
      <w:r w:rsidRPr="00A30C89">
        <w:rPr>
          <w:sz w:val="24"/>
          <w:szCs w:val="24"/>
        </w:rPr>
        <w:t xml:space="preserve"> </w:t>
      </w:r>
      <w:r>
        <w:rPr>
          <w:sz w:val="24"/>
          <w:szCs w:val="24"/>
        </w:rPr>
        <w:t>17</w:t>
      </w:r>
      <w:r w:rsidRPr="00A30C89">
        <w:rPr>
          <w:sz w:val="24"/>
          <w:szCs w:val="24"/>
        </w:rPr>
        <w:t>, 20</w:t>
      </w:r>
      <w:r>
        <w:rPr>
          <w:sz w:val="24"/>
          <w:szCs w:val="24"/>
        </w:rPr>
        <w:t>25</w:t>
      </w:r>
      <w:r w:rsidRPr="00A30C89">
        <w:rPr>
          <w:sz w:val="24"/>
          <w:szCs w:val="2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5C4E55" w14:paraId="7D3E16F9"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B133A0" w:rsidP="006E1D78" w14:paraId="35AB16CA" w14:textId="77777777">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5C4E55" w14:paraId="7FF44F1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114D6795"/>
    <w:multiLevelType w:val="hybridMultilevel"/>
    <w:tmpl w:val="0D5CE5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E7475D0"/>
    <w:multiLevelType w:val="hybridMultilevel"/>
    <w:tmpl w:val="84E854EC"/>
    <w:lvl w:ilvl="0">
      <w:start w:val="1"/>
      <w:numFmt w:val="decimal"/>
      <w:lvlText w:val="%1."/>
      <w:lvlJc w:val="left"/>
      <w:pPr>
        <w:ind w:left="900" w:hanging="360"/>
      </w:pPr>
      <w:rPr>
        <w:rFonts w:hint="default"/>
        <w:strike w:val="0"/>
      </w:rPr>
    </w:lvl>
    <w:lvl w:ilvl="1">
      <w:start w:val="1"/>
      <w:numFmt w:val="lowerLetter"/>
      <w:lvlText w:val="%2."/>
      <w:lvlJc w:val="left"/>
      <w:pPr>
        <w:ind w:left="-360" w:hanging="360"/>
      </w:pPr>
    </w:lvl>
    <w:lvl w:ilvl="2" w:tentative="1">
      <w:start w:val="1"/>
      <w:numFmt w:val="lowerRoman"/>
      <w:lvlText w:val="%3."/>
      <w:lvlJc w:val="right"/>
      <w:pPr>
        <w:ind w:left="360" w:hanging="180"/>
      </w:pPr>
    </w:lvl>
    <w:lvl w:ilvl="3" w:tentative="1">
      <w:start w:val="1"/>
      <w:numFmt w:val="decimal"/>
      <w:lvlText w:val="%4."/>
      <w:lvlJc w:val="left"/>
      <w:pPr>
        <w:ind w:left="1080" w:hanging="360"/>
      </w:pPr>
    </w:lvl>
    <w:lvl w:ilvl="4" w:tentative="1">
      <w:start w:val="1"/>
      <w:numFmt w:val="lowerLetter"/>
      <w:lvlText w:val="%5."/>
      <w:lvlJc w:val="left"/>
      <w:pPr>
        <w:ind w:left="1800" w:hanging="360"/>
      </w:pPr>
    </w:lvl>
    <w:lvl w:ilvl="5" w:tentative="1">
      <w:start w:val="1"/>
      <w:numFmt w:val="lowerRoman"/>
      <w:lvlText w:val="%6."/>
      <w:lvlJc w:val="right"/>
      <w:pPr>
        <w:ind w:left="2520" w:hanging="180"/>
      </w:pPr>
    </w:lvl>
    <w:lvl w:ilvl="6" w:tentative="1">
      <w:start w:val="1"/>
      <w:numFmt w:val="decimal"/>
      <w:lvlText w:val="%7."/>
      <w:lvlJc w:val="left"/>
      <w:pPr>
        <w:ind w:left="3240" w:hanging="360"/>
      </w:pPr>
    </w:lvl>
    <w:lvl w:ilvl="7" w:tentative="1">
      <w:start w:val="1"/>
      <w:numFmt w:val="lowerLetter"/>
      <w:lvlText w:val="%8."/>
      <w:lvlJc w:val="left"/>
      <w:pPr>
        <w:ind w:left="3960" w:hanging="360"/>
      </w:pPr>
    </w:lvl>
    <w:lvl w:ilvl="8" w:tentative="1">
      <w:start w:val="1"/>
      <w:numFmt w:val="lowerRoman"/>
      <w:lvlText w:val="%9."/>
      <w:lvlJc w:val="right"/>
      <w:pPr>
        <w:ind w:left="4680" w:hanging="180"/>
      </w:pPr>
    </w:lvl>
  </w:abstractNum>
  <w:abstractNum w:abstractNumId="2">
    <w:nsid w:val="41372FE3"/>
    <w:multiLevelType w:val="hybridMultilevel"/>
    <w:tmpl w:val="C7E65292"/>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3">
    <w:nsid w:val="47EB4CCD"/>
    <w:multiLevelType w:val="multilevel"/>
    <w:tmpl w:val="546C3F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53A66066"/>
    <w:multiLevelType w:val="hybridMultilevel"/>
    <w:tmpl w:val="BFB4CC6E"/>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nsid w:val="58DF29D6"/>
    <w:multiLevelType w:val="hybridMultilevel"/>
    <w:tmpl w:val="B414E0B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602F2AD4"/>
    <w:multiLevelType w:val="hybridMultilevel"/>
    <w:tmpl w:val="F7565D92"/>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764D367D"/>
    <w:multiLevelType w:val="hybridMultilevel"/>
    <w:tmpl w:val="37AC12F2"/>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num w:numId="1" w16cid:durableId="827526020">
    <w:abstractNumId w:val="1"/>
  </w:num>
  <w:num w:numId="2" w16cid:durableId="673845606">
    <w:abstractNumId w:val="5"/>
  </w:num>
  <w:num w:numId="3" w16cid:durableId="5053687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2220698">
    <w:abstractNumId w:val="3"/>
  </w:num>
  <w:num w:numId="5" w16cid:durableId="344290790">
    <w:abstractNumId w:val="2"/>
  </w:num>
  <w:num w:numId="6" w16cid:durableId="711006481">
    <w:abstractNumId w:val="4"/>
  </w:num>
  <w:num w:numId="7" w16cid:durableId="342171259">
    <w:abstractNumId w:val="7"/>
  </w:num>
  <w:num w:numId="8" w16cid:durableId="12948232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efaultTabStop w:val="720"/>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25F0"/>
    <w:rsid w:val="00005030"/>
    <w:rsid w:val="000064CA"/>
    <w:rsid w:val="00007404"/>
    <w:rsid w:val="00014C86"/>
    <w:rsid w:val="00015F51"/>
    <w:rsid w:val="00017B61"/>
    <w:rsid w:val="00033D0E"/>
    <w:rsid w:val="00067134"/>
    <w:rsid w:val="00076879"/>
    <w:rsid w:val="00080762"/>
    <w:rsid w:val="00086E5F"/>
    <w:rsid w:val="00090A27"/>
    <w:rsid w:val="00096B8B"/>
    <w:rsid w:val="000A1C1B"/>
    <w:rsid w:val="000A7763"/>
    <w:rsid w:val="000B26E1"/>
    <w:rsid w:val="000B4DC0"/>
    <w:rsid w:val="000C4C8D"/>
    <w:rsid w:val="000C6E3C"/>
    <w:rsid w:val="000D3D82"/>
    <w:rsid w:val="000D522E"/>
    <w:rsid w:val="000D5B8A"/>
    <w:rsid w:val="000E543F"/>
    <w:rsid w:val="000E5CCB"/>
    <w:rsid w:val="000F0CFA"/>
    <w:rsid w:val="00107AF2"/>
    <w:rsid w:val="00122D62"/>
    <w:rsid w:val="001252DE"/>
    <w:rsid w:val="0012625F"/>
    <w:rsid w:val="0013206E"/>
    <w:rsid w:val="00132B8C"/>
    <w:rsid w:val="00133922"/>
    <w:rsid w:val="00136AC7"/>
    <w:rsid w:val="00141600"/>
    <w:rsid w:val="00143683"/>
    <w:rsid w:val="001504AF"/>
    <w:rsid w:val="001709D0"/>
    <w:rsid w:val="001770A2"/>
    <w:rsid w:val="00185A66"/>
    <w:rsid w:val="00186979"/>
    <w:rsid w:val="00187B41"/>
    <w:rsid w:val="00191A92"/>
    <w:rsid w:val="001A0D2D"/>
    <w:rsid w:val="001A15EE"/>
    <w:rsid w:val="001A16A0"/>
    <w:rsid w:val="001A41A3"/>
    <w:rsid w:val="001B0324"/>
    <w:rsid w:val="001B6679"/>
    <w:rsid w:val="001C2AC4"/>
    <w:rsid w:val="001C2ED5"/>
    <w:rsid w:val="001C53D8"/>
    <w:rsid w:val="001E0811"/>
    <w:rsid w:val="001F0923"/>
    <w:rsid w:val="00200215"/>
    <w:rsid w:val="002170DE"/>
    <w:rsid w:val="00221016"/>
    <w:rsid w:val="00221186"/>
    <w:rsid w:val="00221B99"/>
    <w:rsid w:val="00221DEC"/>
    <w:rsid w:val="0022216D"/>
    <w:rsid w:val="0024097E"/>
    <w:rsid w:val="00241ADB"/>
    <w:rsid w:val="002421A8"/>
    <w:rsid w:val="00247A78"/>
    <w:rsid w:val="00251623"/>
    <w:rsid w:val="00253731"/>
    <w:rsid w:val="002545E5"/>
    <w:rsid w:val="00274177"/>
    <w:rsid w:val="002806B7"/>
    <w:rsid w:val="002811B5"/>
    <w:rsid w:val="00281B03"/>
    <w:rsid w:val="00291761"/>
    <w:rsid w:val="002926E7"/>
    <w:rsid w:val="00292CB8"/>
    <w:rsid w:val="002A3543"/>
    <w:rsid w:val="002B36AF"/>
    <w:rsid w:val="002C0A0B"/>
    <w:rsid w:val="002C3B51"/>
    <w:rsid w:val="002C7EE6"/>
    <w:rsid w:val="002D1E72"/>
    <w:rsid w:val="002D6119"/>
    <w:rsid w:val="002E1B74"/>
    <w:rsid w:val="002E3D8A"/>
    <w:rsid w:val="002E673B"/>
    <w:rsid w:val="002F18BD"/>
    <w:rsid w:val="00300ED9"/>
    <w:rsid w:val="00301DEC"/>
    <w:rsid w:val="00303EF3"/>
    <w:rsid w:val="00304727"/>
    <w:rsid w:val="00307B6A"/>
    <w:rsid w:val="00310E31"/>
    <w:rsid w:val="003117AD"/>
    <w:rsid w:val="00312C07"/>
    <w:rsid w:val="00317B1C"/>
    <w:rsid w:val="003225B5"/>
    <w:rsid w:val="00326B77"/>
    <w:rsid w:val="00332E28"/>
    <w:rsid w:val="00336047"/>
    <w:rsid w:val="0034419A"/>
    <w:rsid w:val="00347BCC"/>
    <w:rsid w:val="0035292C"/>
    <w:rsid w:val="0036256B"/>
    <w:rsid w:val="00362D6E"/>
    <w:rsid w:val="00371E49"/>
    <w:rsid w:val="00377223"/>
    <w:rsid w:val="00380C1C"/>
    <w:rsid w:val="00390B69"/>
    <w:rsid w:val="00396AC1"/>
    <w:rsid w:val="00397A8B"/>
    <w:rsid w:val="003A3D58"/>
    <w:rsid w:val="003B289B"/>
    <w:rsid w:val="003B4CB6"/>
    <w:rsid w:val="003C1F36"/>
    <w:rsid w:val="003C256E"/>
    <w:rsid w:val="003D204F"/>
    <w:rsid w:val="003D6174"/>
    <w:rsid w:val="003D70C9"/>
    <w:rsid w:val="003E215A"/>
    <w:rsid w:val="003E3521"/>
    <w:rsid w:val="00405795"/>
    <w:rsid w:val="00410B29"/>
    <w:rsid w:val="004163EB"/>
    <w:rsid w:val="00416502"/>
    <w:rsid w:val="00425153"/>
    <w:rsid w:val="004343E1"/>
    <w:rsid w:val="00442E14"/>
    <w:rsid w:val="004455FB"/>
    <w:rsid w:val="0045342D"/>
    <w:rsid w:val="00453AD3"/>
    <w:rsid w:val="00456A4A"/>
    <w:rsid w:val="004572AC"/>
    <w:rsid w:val="004575AF"/>
    <w:rsid w:val="00464172"/>
    <w:rsid w:val="00475009"/>
    <w:rsid w:val="00475A4E"/>
    <w:rsid w:val="00477C7A"/>
    <w:rsid w:val="00477CE9"/>
    <w:rsid w:val="0048388B"/>
    <w:rsid w:val="00483C9F"/>
    <w:rsid w:val="00484855"/>
    <w:rsid w:val="004864E7"/>
    <w:rsid w:val="00492314"/>
    <w:rsid w:val="004928BD"/>
    <w:rsid w:val="00493EB2"/>
    <w:rsid w:val="00497CFF"/>
    <w:rsid w:val="004A7DE5"/>
    <w:rsid w:val="004B08EA"/>
    <w:rsid w:val="004B25F0"/>
    <w:rsid w:val="004B2B5C"/>
    <w:rsid w:val="004B535F"/>
    <w:rsid w:val="004B6C02"/>
    <w:rsid w:val="004C3F4A"/>
    <w:rsid w:val="004C6577"/>
    <w:rsid w:val="004C6CE0"/>
    <w:rsid w:val="004F75BC"/>
    <w:rsid w:val="005156A1"/>
    <w:rsid w:val="00516CB8"/>
    <w:rsid w:val="00521A42"/>
    <w:rsid w:val="00522393"/>
    <w:rsid w:val="00542C57"/>
    <w:rsid w:val="005462F9"/>
    <w:rsid w:val="00554B26"/>
    <w:rsid w:val="00555D78"/>
    <w:rsid w:val="005562A9"/>
    <w:rsid w:val="00564F9F"/>
    <w:rsid w:val="00567373"/>
    <w:rsid w:val="00570456"/>
    <w:rsid w:val="0057308C"/>
    <w:rsid w:val="00590396"/>
    <w:rsid w:val="00590E43"/>
    <w:rsid w:val="0059370A"/>
    <w:rsid w:val="00593D04"/>
    <w:rsid w:val="0059598B"/>
    <w:rsid w:val="00595D6E"/>
    <w:rsid w:val="005A3169"/>
    <w:rsid w:val="005A73AE"/>
    <w:rsid w:val="005C1C31"/>
    <w:rsid w:val="005C3772"/>
    <w:rsid w:val="005C4E55"/>
    <w:rsid w:val="005D5EDF"/>
    <w:rsid w:val="005D7BB9"/>
    <w:rsid w:val="005E001F"/>
    <w:rsid w:val="005E26C4"/>
    <w:rsid w:val="005E494D"/>
    <w:rsid w:val="005E7041"/>
    <w:rsid w:val="005F00F6"/>
    <w:rsid w:val="005F06D4"/>
    <w:rsid w:val="005F101A"/>
    <w:rsid w:val="005F15B1"/>
    <w:rsid w:val="005F188D"/>
    <w:rsid w:val="005F4435"/>
    <w:rsid w:val="006031C6"/>
    <w:rsid w:val="006109C9"/>
    <w:rsid w:val="0062153C"/>
    <w:rsid w:val="00630A4D"/>
    <w:rsid w:val="006318CE"/>
    <w:rsid w:val="00632250"/>
    <w:rsid w:val="006350AC"/>
    <w:rsid w:val="00641CE0"/>
    <w:rsid w:val="00650258"/>
    <w:rsid w:val="00651DEE"/>
    <w:rsid w:val="00652E94"/>
    <w:rsid w:val="00661DB3"/>
    <w:rsid w:val="00671393"/>
    <w:rsid w:val="00673ABB"/>
    <w:rsid w:val="00685122"/>
    <w:rsid w:val="00685D53"/>
    <w:rsid w:val="00690F0C"/>
    <w:rsid w:val="006951C5"/>
    <w:rsid w:val="006A2F45"/>
    <w:rsid w:val="006A4F86"/>
    <w:rsid w:val="006B0A1A"/>
    <w:rsid w:val="006B31E5"/>
    <w:rsid w:val="006B7B73"/>
    <w:rsid w:val="006C5E6D"/>
    <w:rsid w:val="006C6E14"/>
    <w:rsid w:val="006D2B63"/>
    <w:rsid w:val="006D6BC2"/>
    <w:rsid w:val="006E1D78"/>
    <w:rsid w:val="006E3381"/>
    <w:rsid w:val="006E66AA"/>
    <w:rsid w:val="006F464A"/>
    <w:rsid w:val="006F6A22"/>
    <w:rsid w:val="007074B2"/>
    <w:rsid w:val="00712249"/>
    <w:rsid w:val="00713B18"/>
    <w:rsid w:val="007141F3"/>
    <w:rsid w:val="0072114D"/>
    <w:rsid w:val="00721702"/>
    <w:rsid w:val="00731011"/>
    <w:rsid w:val="00732987"/>
    <w:rsid w:val="007437A2"/>
    <w:rsid w:val="007443D9"/>
    <w:rsid w:val="007548C5"/>
    <w:rsid w:val="00767243"/>
    <w:rsid w:val="007775F2"/>
    <w:rsid w:val="0078315C"/>
    <w:rsid w:val="00784B9B"/>
    <w:rsid w:val="00785325"/>
    <w:rsid w:val="007857EE"/>
    <w:rsid w:val="007919D2"/>
    <w:rsid w:val="007A1353"/>
    <w:rsid w:val="007A5718"/>
    <w:rsid w:val="007B1213"/>
    <w:rsid w:val="007B35F6"/>
    <w:rsid w:val="007B3998"/>
    <w:rsid w:val="007B3A1D"/>
    <w:rsid w:val="007B50E3"/>
    <w:rsid w:val="007B78AB"/>
    <w:rsid w:val="007C2099"/>
    <w:rsid w:val="007C5BEC"/>
    <w:rsid w:val="007C6EFF"/>
    <w:rsid w:val="007E00FF"/>
    <w:rsid w:val="007E0733"/>
    <w:rsid w:val="007E4745"/>
    <w:rsid w:val="007E73A5"/>
    <w:rsid w:val="007F2371"/>
    <w:rsid w:val="007F4025"/>
    <w:rsid w:val="007F4076"/>
    <w:rsid w:val="007F4F14"/>
    <w:rsid w:val="00823DA5"/>
    <w:rsid w:val="00824C10"/>
    <w:rsid w:val="00832C78"/>
    <w:rsid w:val="00847053"/>
    <w:rsid w:val="008548F6"/>
    <w:rsid w:val="00855709"/>
    <w:rsid w:val="0087142B"/>
    <w:rsid w:val="00876850"/>
    <w:rsid w:val="00876C10"/>
    <w:rsid w:val="00880DBC"/>
    <w:rsid w:val="00885793"/>
    <w:rsid w:val="0089089B"/>
    <w:rsid w:val="008A1EEF"/>
    <w:rsid w:val="008A46FC"/>
    <w:rsid w:val="008A552B"/>
    <w:rsid w:val="008B1664"/>
    <w:rsid w:val="008B726B"/>
    <w:rsid w:val="008B7EEA"/>
    <w:rsid w:val="008C18BB"/>
    <w:rsid w:val="008C4BAE"/>
    <w:rsid w:val="008D4C28"/>
    <w:rsid w:val="008D7957"/>
    <w:rsid w:val="008E055A"/>
    <w:rsid w:val="008E711E"/>
    <w:rsid w:val="008F155E"/>
    <w:rsid w:val="008F1D3F"/>
    <w:rsid w:val="008F3663"/>
    <w:rsid w:val="008F6C60"/>
    <w:rsid w:val="008F75F8"/>
    <w:rsid w:val="00903414"/>
    <w:rsid w:val="00904797"/>
    <w:rsid w:val="00905FB6"/>
    <w:rsid w:val="0090627C"/>
    <w:rsid w:val="009126AB"/>
    <w:rsid w:val="00915736"/>
    <w:rsid w:val="00916111"/>
    <w:rsid w:val="00924683"/>
    <w:rsid w:val="00927575"/>
    <w:rsid w:val="009319D5"/>
    <w:rsid w:val="00933D2F"/>
    <w:rsid w:val="00937576"/>
    <w:rsid w:val="00951CC7"/>
    <w:rsid w:val="009535EB"/>
    <w:rsid w:val="0095617A"/>
    <w:rsid w:val="00956894"/>
    <w:rsid w:val="009666F5"/>
    <w:rsid w:val="009675F7"/>
    <w:rsid w:val="00977987"/>
    <w:rsid w:val="0098031F"/>
    <w:rsid w:val="0098151F"/>
    <w:rsid w:val="00984C5B"/>
    <w:rsid w:val="009861B4"/>
    <w:rsid w:val="009909D7"/>
    <w:rsid w:val="00993A52"/>
    <w:rsid w:val="00993F9D"/>
    <w:rsid w:val="00997A60"/>
    <w:rsid w:val="009A1902"/>
    <w:rsid w:val="009A2500"/>
    <w:rsid w:val="009A6342"/>
    <w:rsid w:val="009B18BA"/>
    <w:rsid w:val="009B22BD"/>
    <w:rsid w:val="009B5279"/>
    <w:rsid w:val="009C3C4C"/>
    <w:rsid w:val="009C44BD"/>
    <w:rsid w:val="009D78B9"/>
    <w:rsid w:val="009E5872"/>
    <w:rsid w:val="009F376A"/>
    <w:rsid w:val="009F69BC"/>
    <w:rsid w:val="00A01BE9"/>
    <w:rsid w:val="00A12AA1"/>
    <w:rsid w:val="00A23F74"/>
    <w:rsid w:val="00A24641"/>
    <w:rsid w:val="00A30C89"/>
    <w:rsid w:val="00A3519C"/>
    <w:rsid w:val="00A35EC8"/>
    <w:rsid w:val="00A361BC"/>
    <w:rsid w:val="00A5054F"/>
    <w:rsid w:val="00A519AA"/>
    <w:rsid w:val="00A54F9A"/>
    <w:rsid w:val="00A60301"/>
    <w:rsid w:val="00A7101B"/>
    <w:rsid w:val="00A72183"/>
    <w:rsid w:val="00A7563C"/>
    <w:rsid w:val="00A77DB9"/>
    <w:rsid w:val="00A87717"/>
    <w:rsid w:val="00A92FC5"/>
    <w:rsid w:val="00AA231E"/>
    <w:rsid w:val="00AA4604"/>
    <w:rsid w:val="00AA4ABC"/>
    <w:rsid w:val="00AA6CD3"/>
    <w:rsid w:val="00AB2186"/>
    <w:rsid w:val="00AB2689"/>
    <w:rsid w:val="00AB3B4D"/>
    <w:rsid w:val="00AC0E1A"/>
    <w:rsid w:val="00AC174F"/>
    <w:rsid w:val="00AC7D43"/>
    <w:rsid w:val="00AD0BF5"/>
    <w:rsid w:val="00AE17D5"/>
    <w:rsid w:val="00AE4447"/>
    <w:rsid w:val="00AE5EA9"/>
    <w:rsid w:val="00AE7689"/>
    <w:rsid w:val="00AF0E99"/>
    <w:rsid w:val="00AF4761"/>
    <w:rsid w:val="00B022B5"/>
    <w:rsid w:val="00B07E34"/>
    <w:rsid w:val="00B1262C"/>
    <w:rsid w:val="00B133A0"/>
    <w:rsid w:val="00B15826"/>
    <w:rsid w:val="00B225B5"/>
    <w:rsid w:val="00B23CE7"/>
    <w:rsid w:val="00B26182"/>
    <w:rsid w:val="00B35869"/>
    <w:rsid w:val="00B43764"/>
    <w:rsid w:val="00B46538"/>
    <w:rsid w:val="00B53E81"/>
    <w:rsid w:val="00B53EF4"/>
    <w:rsid w:val="00B542ED"/>
    <w:rsid w:val="00B55361"/>
    <w:rsid w:val="00B5658B"/>
    <w:rsid w:val="00B57D94"/>
    <w:rsid w:val="00B60CE5"/>
    <w:rsid w:val="00B67C33"/>
    <w:rsid w:val="00B70744"/>
    <w:rsid w:val="00B72606"/>
    <w:rsid w:val="00B73F6E"/>
    <w:rsid w:val="00B86319"/>
    <w:rsid w:val="00B8672C"/>
    <w:rsid w:val="00B8750F"/>
    <w:rsid w:val="00B90EBD"/>
    <w:rsid w:val="00B94BE9"/>
    <w:rsid w:val="00B94E1A"/>
    <w:rsid w:val="00B96E4D"/>
    <w:rsid w:val="00BA354B"/>
    <w:rsid w:val="00BA7837"/>
    <w:rsid w:val="00BB0123"/>
    <w:rsid w:val="00BB3DEF"/>
    <w:rsid w:val="00BB5A9C"/>
    <w:rsid w:val="00BC08B4"/>
    <w:rsid w:val="00BC2E21"/>
    <w:rsid w:val="00BD467F"/>
    <w:rsid w:val="00BE3419"/>
    <w:rsid w:val="00BE3B2E"/>
    <w:rsid w:val="00BE54BF"/>
    <w:rsid w:val="00BE69F2"/>
    <w:rsid w:val="00BF3026"/>
    <w:rsid w:val="00BF3BA3"/>
    <w:rsid w:val="00BF5FC1"/>
    <w:rsid w:val="00C106D9"/>
    <w:rsid w:val="00C15032"/>
    <w:rsid w:val="00C24C34"/>
    <w:rsid w:val="00C32E0D"/>
    <w:rsid w:val="00C3420E"/>
    <w:rsid w:val="00C37C24"/>
    <w:rsid w:val="00C41F03"/>
    <w:rsid w:val="00C42AB7"/>
    <w:rsid w:val="00C44D20"/>
    <w:rsid w:val="00C45B4F"/>
    <w:rsid w:val="00C45C83"/>
    <w:rsid w:val="00C4705A"/>
    <w:rsid w:val="00C47128"/>
    <w:rsid w:val="00C74E0C"/>
    <w:rsid w:val="00C77E2D"/>
    <w:rsid w:val="00C87597"/>
    <w:rsid w:val="00C90503"/>
    <w:rsid w:val="00CA104B"/>
    <w:rsid w:val="00CA7C46"/>
    <w:rsid w:val="00CC5546"/>
    <w:rsid w:val="00CD1C86"/>
    <w:rsid w:val="00CE0798"/>
    <w:rsid w:val="00CE7A75"/>
    <w:rsid w:val="00CE7C11"/>
    <w:rsid w:val="00CF2BE3"/>
    <w:rsid w:val="00D003BC"/>
    <w:rsid w:val="00D03B28"/>
    <w:rsid w:val="00D0502C"/>
    <w:rsid w:val="00D05036"/>
    <w:rsid w:val="00D0714A"/>
    <w:rsid w:val="00D1111E"/>
    <w:rsid w:val="00D123FF"/>
    <w:rsid w:val="00D205E7"/>
    <w:rsid w:val="00D209BA"/>
    <w:rsid w:val="00D2157A"/>
    <w:rsid w:val="00D25EDF"/>
    <w:rsid w:val="00D3040D"/>
    <w:rsid w:val="00D364C6"/>
    <w:rsid w:val="00D37E46"/>
    <w:rsid w:val="00D4410A"/>
    <w:rsid w:val="00D53E50"/>
    <w:rsid w:val="00D5416E"/>
    <w:rsid w:val="00D61403"/>
    <w:rsid w:val="00D63A69"/>
    <w:rsid w:val="00D72923"/>
    <w:rsid w:val="00D738C4"/>
    <w:rsid w:val="00D773BD"/>
    <w:rsid w:val="00D83891"/>
    <w:rsid w:val="00D85121"/>
    <w:rsid w:val="00D86A99"/>
    <w:rsid w:val="00D92EBE"/>
    <w:rsid w:val="00D9436D"/>
    <w:rsid w:val="00D976C3"/>
    <w:rsid w:val="00DA1ABE"/>
    <w:rsid w:val="00DB46D0"/>
    <w:rsid w:val="00DB4E67"/>
    <w:rsid w:val="00DB7A26"/>
    <w:rsid w:val="00DC25EF"/>
    <w:rsid w:val="00DE093A"/>
    <w:rsid w:val="00DE606B"/>
    <w:rsid w:val="00DE6BA7"/>
    <w:rsid w:val="00DE71B3"/>
    <w:rsid w:val="00E13933"/>
    <w:rsid w:val="00E14D98"/>
    <w:rsid w:val="00E20813"/>
    <w:rsid w:val="00E224D0"/>
    <w:rsid w:val="00E23FB2"/>
    <w:rsid w:val="00E30D96"/>
    <w:rsid w:val="00E34E74"/>
    <w:rsid w:val="00E3689E"/>
    <w:rsid w:val="00E40540"/>
    <w:rsid w:val="00E56BC6"/>
    <w:rsid w:val="00E57324"/>
    <w:rsid w:val="00E657D0"/>
    <w:rsid w:val="00E72707"/>
    <w:rsid w:val="00E810C4"/>
    <w:rsid w:val="00E934F3"/>
    <w:rsid w:val="00EB2926"/>
    <w:rsid w:val="00EC4301"/>
    <w:rsid w:val="00EC53EE"/>
    <w:rsid w:val="00ED7E9B"/>
    <w:rsid w:val="00EF22A3"/>
    <w:rsid w:val="00EF46F8"/>
    <w:rsid w:val="00F009CF"/>
    <w:rsid w:val="00F0309D"/>
    <w:rsid w:val="00F0364A"/>
    <w:rsid w:val="00F04D84"/>
    <w:rsid w:val="00F06669"/>
    <w:rsid w:val="00F0726C"/>
    <w:rsid w:val="00F12E70"/>
    <w:rsid w:val="00F1367F"/>
    <w:rsid w:val="00F14B1D"/>
    <w:rsid w:val="00F14ED6"/>
    <w:rsid w:val="00F16AB2"/>
    <w:rsid w:val="00F21C5D"/>
    <w:rsid w:val="00F24366"/>
    <w:rsid w:val="00F302F7"/>
    <w:rsid w:val="00F3036B"/>
    <w:rsid w:val="00F31E7B"/>
    <w:rsid w:val="00F34CCB"/>
    <w:rsid w:val="00F35217"/>
    <w:rsid w:val="00F355A7"/>
    <w:rsid w:val="00F43580"/>
    <w:rsid w:val="00F520DB"/>
    <w:rsid w:val="00F53B82"/>
    <w:rsid w:val="00F651A5"/>
    <w:rsid w:val="00F779FE"/>
    <w:rsid w:val="00F77F7C"/>
    <w:rsid w:val="00F82973"/>
    <w:rsid w:val="00F930F3"/>
    <w:rsid w:val="00F947F9"/>
    <w:rsid w:val="00FA092B"/>
    <w:rsid w:val="00FA2B89"/>
    <w:rsid w:val="00FA3C67"/>
    <w:rsid w:val="00FA544C"/>
    <w:rsid w:val="00FA692D"/>
    <w:rsid w:val="00FB3832"/>
    <w:rsid w:val="00FC114B"/>
    <w:rsid w:val="00FC25E7"/>
    <w:rsid w:val="00FC4D2D"/>
    <w:rsid w:val="00FD19F5"/>
    <w:rsid w:val="00FD2F32"/>
    <w:rsid w:val="00FD5476"/>
    <w:rsid w:val="00FE0532"/>
    <w:rsid w:val="00FE51FF"/>
    <w:rsid w:val="00FE7D9F"/>
    <w:rsid w:val="00FF2E1C"/>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748660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25F0"/>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A7563C"/>
    <w:pPr>
      <w:framePr w:w="7920" w:h="1980" w:hRule="exact" w:hSpace="180" w:wrap="auto" w:hAnchor="page" w:xAlign="center" w:yAlign="bottom"/>
      <w:ind w:left="2880"/>
    </w:pPr>
    <w:rPr>
      <w:rFonts w:ascii="Arial" w:hAnsi="Arial" w:eastAsiaTheme="majorEastAsia" w:cstheme="majorBidi"/>
      <w:sz w:val="28"/>
      <w:szCs w:val="24"/>
    </w:rPr>
  </w:style>
  <w:style w:type="paragraph" w:styleId="Header">
    <w:name w:val="header"/>
    <w:basedOn w:val="Normal"/>
    <w:link w:val="HeaderChar"/>
    <w:uiPriority w:val="99"/>
    <w:unhideWhenUsed/>
    <w:rsid w:val="00712249"/>
    <w:pPr>
      <w:tabs>
        <w:tab w:val="center" w:pos="4680"/>
        <w:tab w:val="right" w:pos="9360"/>
      </w:tabs>
    </w:pPr>
  </w:style>
  <w:style w:type="character" w:customStyle="1" w:styleId="HeaderChar">
    <w:name w:val="Header Char"/>
    <w:basedOn w:val="DefaultParagraphFont"/>
    <w:link w:val="Header"/>
    <w:uiPriority w:val="99"/>
    <w:rsid w:val="00712249"/>
  </w:style>
  <w:style w:type="paragraph" w:styleId="Footer">
    <w:name w:val="footer"/>
    <w:basedOn w:val="Normal"/>
    <w:link w:val="FooterChar"/>
    <w:uiPriority w:val="99"/>
    <w:unhideWhenUsed/>
    <w:rsid w:val="00712249"/>
    <w:pPr>
      <w:tabs>
        <w:tab w:val="center" w:pos="4680"/>
        <w:tab w:val="right" w:pos="9360"/>
      </w:tabs>
    </w:pPr>
  </w:style>
  <w:style w:type="character" w:customStyle="1" w:styleId="FooterChar">
    <w:name w:val="Footer Char"/>
    <w:basedOn w:val="DefaultParagraphFont"/>
    <w:link w:val="Footer"/>
    <w:uiPriority w:val="99"/>
    <w:rsid w:val="00712249"/>
  </w:style>
  <w:style w:type="character" w:styleId="Hyperlink">
    <w:name w:val="Hyperlink"/>
    <w:basedOn w:val="DefaultParagraphFont"/>
    <w:uiPriority w:val="99"/>
    <w:unhideWhenUsed/>
    <w:rsid w:val="009A1902"/>
    <w:rPr>
      <w:color w:val="0563C1" w:themeColor="hyperlink"/>
      <w:u w:val="single"/>
    </w:rPr>
  </w:style>
  <w:style w:type="character" w:customStyle="1" w:styleId="DocID">
    <w:name w:val="DocID"/>
    <w:basedOn w:val="DefaultParagraphFont"/>
    <w:rsid w:val="007443D9"/>
    <w:rPr>
      <w:rFonts w:ascii="Times New Roman" w:hAnsi="Times New Roman" w:cs="Times New Roman"/>
      <w:b w:val="0"/>
      <w:i w:val="0"/>
      <w:caps w:val="0"/>
      <w:vanish w:val="0"/>
      <w:color w:val="000000"/>
      <w:sz w:val="18"/>
      <w:szCs w:val="24"/>
      <w:u w:val="none"/>
    </w:rPr>
  </w:style>
  <w:style w:type="paragraph" w:styleId="FootnoteText">
    <w:name w:val="footnote text"/>
    <w:basedOn w:val="Normal"/>
    <w:link w:val="FootnoteTextChar"/>
    <w:uiPriority w:val="99"/>
    <w:semiHidden/>
    <w:unhideWhenUsed/>
    <w:rsid w:val="00E810C4"/>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E810C4"/>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E810C4"/>
    <w:rPr>
      <w:vertAlign w:val="superscript"/>
    </w:rPr>
  </w:style>
  <w:style w:type="paragraph" w:styleId="Title">
    <w:name w:val="Title"/>
    <w:aliases w:val="t"/>
    <w:basedOn w:val="Normal"/>
    <w:next w:val="BodyText"/>
    <w:link w:val="TitleChar"/>
    <w:qFormat/>
    <w:rsid w:val="008A46FC"/>
    <w:pPr>
      <w:keepNext/>
      <w:spacing w:after="240"/>
      <w:jc w:val="center"/>
    </w:pPr>
    <w:rPr>
      <w:rFonts w:ascii="Times New Roman" w:hAnsi="Times New Roman" w:eastAsiaTheme="majorEastAsia" w:cstheme="majorBidi"/>
      <w:kern w:val="28"/>
      <w:sz w:val="24"/>
      <w:szCs w:val="52"/>
      <w:u w:val="single"/>
    </w:rPr>
  </w:style>
  <w:style w:type="character" w:customStyle="1" w:styleId="TitleChar">
    <w:name w:val="Title Char"/>
    <w:aliases w:val="t Char"/>
    <w:basedOn w:val="DefaultParagraphFont"/>
    <w:link w:val="Title"/>
    <w:rsid w:val="008A46FC"/>
    <w:rPr>
      <w:rFonts w:ascii="Times New Roman" w:hAnsi="Times New Roman" w:eastAsiaTheme="majorEastAsia" w:cstheme="majorBidi"/>
      <w:kern w:val="28"/>
      <w:sz w:val="24"/>
      <w:szCs w:val="52"/>
      <w:u w:val="single"/>
    </w:rPr>
  </w:style>
  <w:style w:type="paragraph" w:styleId="BodyText">
    <w:name w:val="Body Text"/>
    <w:basedOn w:val="Normal"/>
    <w:link w:val="BodyTextChar"/>
    <w:uiPriority w:val="99"/>
    <w:semiHidden/>
    <w:unhideWhenUsed/>
    <w:rsid w:val="008A46FC"/>
    <w:pPr>
      <w:spacing w:after="120"/>
    </w:pPr>
  </w:style>
  <w:style w:type="character" w:customStyle="1" w:styleId="BodyTextChar">
    <w:name w:val="Body Text Char"/>
    <w:basedOn w:val="DefaultParagraphFont"/>
    <w:link w:val="BodyText"/>
    <w:uiPriority w:val="99"/>
    <w:semiHidden/>
    <w:rsid w:val="008A46FC"/>
  </w:style>
  <w:style w:type="paragraph" w:styleId="BalloonText">
    <w:name w:val="Balloon Text"/>
    <w:basedOn w:val="Normal"/>
    <w:link w:val="BalloonTextChar"/>
    <w:uiPriority w:val="99"/>
    <w:semiHidden/>
    <w:unhideWhenUsed/>
    <w:rsid w:val="005F00F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00F6"/>
    <w:rPr>
      <w:rFonts w:ascii="Segoe UI" w:hAnsi="Segoe UI" w:cs="Segoe UI"/>
      <w:sz w:val="18"/>
      <w:szCs w:val="18"/>
    </w:rPr>
  </w:style>
  <w:style w:type="character" w:styleId="CommentReference">
    <w:name w:val="annotation reference"/>
    <w:basedOn w:val="DefaultParagraphFont"/>
    <w:uiPriority w:val="99"/>
    <w:semiHidden/>
    <w:unhideWhenUsed/>
    <w:rsid w:val="009F69BC"/>
    <w:rPr>
      <w:sz w:val="16"/>
      <w:szCs w:val="16"/>
    </w:rPr>
  </w:style>
  <w:style w:type="paragraph" w:styleId="CommentText">
    <w:name w:val="annotation text"/>
    <w:basedOn w:val="Normal"/>
    <w:link w:val="CommentTextChar"/>
    <w:uiPriority w:val="99"/>
    <w:unhideWhenUsed/>
    <w:rsid w:val="009F69BC"/>
    <w:rPr>
      <w:sz w:val="20"/>
      <w:szCs w:val="20"/>
    </w:rPr>
  </w:style>
  <w:style w:type="character" w:customStyle="1" w:styleId="CommentTextChar">
    <w:name w:val="Comment Text Char"/>
    <w:basedOn w:val="DefaultParagraphFont"/>
    <w:link w:val="CommentText"/>
    <w:uiPriority w:val="99"/>
    <w:rsid w:val="009F69BC"/>
    <w:rPr>
      <w:sz w:val="20"/>
      <w:szCs w:val="20"/>
    </w:rPr>
  </w:style>
  <w:style w:type="paragraph" w:styleId="CommentSubject">
    <w:name w:val="annotation subject"/>
    <w:basedOn w:val="CommentText"/>
    <w:next w:val="CommentText"/>
    <w:link w:val="CommentSubjectChar"/>
    <w:uiPriority w:val="99"/>
    <w:semiHidden/>
    <w:unhideWhenUsed/>
    <w:rsid w:val="009F69BC"/>
    <w:rPr>
      <w:b/>
      <w:bCs/>
    </w:rPr>
  </w:style>
  <w:style w:type="character" w:customStyle="1" w:styleId="CommentSubjectChar">
    <w:name w:val="Comment Subject Char"/>
    <w:basedOn w:val="CommentTextChar"/>
    <w:link w:val="CommentSubject"/>
    <w:uiPriority w:val="99"/>
    <w:semiHidden/>
    <w:rsid w:val="009F69BC"/>
    <w:rPr>
      <w:b/>
      <w:bCs/>
      <w:sz w:val="20"/>
      <w:szCs w:val="20"/>
    </w:rPr>
  </w:style>
  <w:style w:type="paragraph" w:customStyle="1" w:styleId="p3">
    <w:name w:val="p3"/>
    <w:basedOn w:val="Normal"/>
    <w:rsid w:val="00CD1C86"/>
    <w:pPr>
      <w:widowControl w:val="0"/>
      <w:tabs>
        <w:tab w:val="left" w:pos="204"/>
      </w:tabs>
      <w:autoSpaceDE w:val="0"/>
      <w:autoSpaceDN w:val="0"/>
      <w:adjustRightInd w:val="0"/>
      <w:spacing w:line="240" w:lineRule="atLeast"/>
    </w:pPr>
    <w:rPr>
      <w:rFonts w:ascii="Times New Roman" w:eastAsia="Times New Roman" w:hAnsi="Times New Roman" w:cs="Times New Roman"/>
      <w:sz w:val="24"/>
      <w:szCs w:val="24"/>
    </w:rPr>
  </w:style>
  <w:style w:type="paragraph" w:styleId="Revision">
    <w:name w:val="Revision"/>
    <w:hidden/>
    <w:uiPriority w:val="99"/>
    <w:semiHidden/>
    <w:rsid w:val="00410B29"/>
    <w:pPr>
      <w:spacing w:after="0" w:line="240" w:lineRule="auto"/>
    </w:pPr>
  </w:style>
  <w:style w:type="paragraph" w:styleId="ListParagraph">
    <w:name w:val="List Paragraph"/>
    <w:basedOn w:val="Normal"/>
    <w:link w:val="ListParagraphChar"/>
    <w:uiPriority w:val="34"/>
    <w:qFormat/>
    <w:rsid w:val="00D3040D"/>
    <w:pPr>
      <w:ind w:left="720"/>
      <w:contextualSpacing/>
    </w:pPr>
  </w:style>
  <w:style w:type="character" w:customStyle="1" w:styleId="ListParagraphChar">
    <w:name w:val="List Paragraph Char"/>
    <w:link w:val="ListParagraph"/>
    <w:uiPriority w:val="34"/>
    <w:rsid w:val="00D3040D"/>
  </w:style>
  <w:style w:type="paragraph" w:styleId="NormalWeb">
    <w:name w:val="Normal (Web)"/>
    <w:basedOn w:val="Normal"/>
    <w:uiPriority w:val="99"/>
    <w:unhideWhenUsed/>
    <w:rsid w:val="0078315C"/>
    <w:pPr>
      <w:spacing w:before="100" w:beforeAutospacing="1" w:after="100" w:afterAutospacing="1"/>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B67C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image" Target="media/image2.jpeg" /><Relationship Id="rId11" Type="http://schemas.openxmlformats.org/officeDocument/2006/relationships/header" Target="header1.xml" /><Relationship Id="rId12" Type="http://schemas.openxmlformats.org/officeDocument/2006/relationships/header" Target="header2.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header" Target="header3.xml" /><Relationship Id="rId16" Type="http://schemas.openxmlformats.org/officeDocument/2006/relationships/footer" Target="footer3.xm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customXml" Target="../customXml/item2.xml" /><Relationship Id="rId7" Type="http://schemas.openxmlformats.org/officeDocument/2006/relationships/customXml" Target="../customXml/item3.xml" /><Relationship Id="rId8" Type="http://schemas.openxmlformats.org/officeDocument/2006/relationships/customXml" Target="../customXml/item4.xml" /><Relationship Id="rId9" Type="http://schemas.openxmlformats.org/officeDocument/2006/relationships/image" Target="media/image1.emf" /></Relationships>
</file>

<file path=word/_rels/footnotes.xml.rels><?xml version="1.0" encoding="utf-8" standalone="yes"?><Relationships xmlns="http://schemas.openxmlformats.org/package/2006/relationships"><Relationship Id="rId1" Type="http://schemas.openxmlformats.org/officeDocument/2006/relationships/hyperlink" Target="https://www.ferc.gov/south-system-expansion-4-pipeline-project" TargetMode="External" /><Relationship Id="rId2" Type="http://schemas.openxmlformats.org/officeDocument/2006/relationships/hyperlink" Target="https://www.kindermorgan.com/Operations/Projects/SSE4-Project-Page" TargetMode="External" /><Relationship Id="rId3" Type="http://schemas.openxmlformats.org/officeDocument/2006/relationships/hyperlink" Target="https://www.williams.com/wp-content/uploads/sites/14/2026/01/SSE-Fact-Sheet-2_19_25.pdf"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81413F2C684D44892906482D143593B" ma:contentTypeVersion="21" ma:contentTypeDescription="Create a new document." ma:contentTypeScope="" ma:versionID="1a61bae3fc695abcd7bb6a863e1033e9">
  <xsd:schema xmlns:xsd="http://www.w3.org/2001/XMLSchema" xmlns:xs="http://www.w3.org/2001/XMLSchema" xmlns:p="http://schemas.microsoft.com/office/2006/metadata/properties" xmlns:ns2="a4f595d6-b4d5-48eb-81f3-9926be169de1" xmlns:ns3="a282a1aa-5419-4ebd-b371-a6c920673237" xmlns:ns4="f3351373-2b59-4a46-949d-f42afd8cf7c2" targetNamespace="http://schemas.microsoft.com/office/2006/metadata/properties" ma:root="true" ma:fieldsID="49a6b2fe21dad77a5625f69f1d25cbc6" ns2:_="" ns3:_="" ns4:_="">
    <xsd:import namespace="a4f595d6-b4d5-48eb-81f3-9926be169de1"/>
    <xsd:import namespace="a282a1aa-5419-4ebd-b371-a6c920673237"/>
    <xsd:import namespace="f3351373-2b59-4a46-949d-f42afd8cf7c2"/>
    <xsd:element name="properties">
      <xsd:complexType>
        <xsd:sequence>
          <xsd:element name="documentManagement">
            <xsd:complexType>
              <xsd:all>
                <xsd:element ref="ns2:Comments" minOccurs="0"/>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AutoTags" minOccurs="0"/>
                <xsd:element ref="ns2:lcf76f155ced4ddcb4097134ff3c332f" minOccurs="0"/>
                <xsd:element ref="ns4:TaxCatchAll" minOccurs="0"/>
                <xsd:element ref="ns2:MediaServiceOCR"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f595d6-b4d5-48eb-81f3-9926be169de1" elementFormDefault="qualified">
    <xsd:import namespace="http://schemas.microsoft.com/office/2006/documentManagement/types"/>
    <xsd:import namespace="http://schemas.microsoft.com/office/infopath/2007/PartnerControls"/>
    <xsd:element name="Comments" ma:index="4" nillable="true" ma:displayName="Comments" ma:internalName="Comments" ma:readOnly="fals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dcc0b944-1297-42fa-b789-cd23fa32fe04"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DateTaken" ma:index="22" nillable="true" ma:displayName="MediaServiceDateTaken" ma:hidden="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82a1aa-5419-4ebd-b371-a6c92067323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351373-2b59-4a46-949d-f42afd8cf7c2"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fa6fbb7c-f9a0-4c5d-b3c9-ed50356e2938}" ma:internalName="TaxCatchAll" ma:showField="CatchAllData" ma:web="a282a1aa-5419-4ebd-b371-a6c9206732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4f595d6-b4d5-48eb-81f3-9926be169de1">
      <Terms xmlns="http://schemas.microsoft.com/office/infopath/2007/PartnerControls"/>
    </lcf76f155ced4ddcb4097134ff3c332f>
    <Comments xmlns="a4f595d6-b4d5-48eb-81f3-9926be169de1" xsi:nil="true"/>
    <TaxCatchAll xmlns="f3351373-2b59-4a46-949d-f42afd8cf7c2"/>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12CC9-DC95-4152-A6AF-C2B3EDB7B2AF}">
  <ds:schemaRefs>
    <ds:schemaRef ds:uri="http://schemas.microsoft.com/sharepoint/v3/contenttype/forms"/>
  </ds:schemaRefs>
</ds:datastoreItem>
</file>

<file path=customXml/itemProps2.xml><?xml version="1.0" encoding="utf-8"?>
<ds:datastoreItem xmlns:ds="http://schemas.openxmlformats.org/officeDocument/2006/customXml" ds:itemID="{B36A80F2-95A2-48C9-8859-F0B8A570F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f595d6-b4d5-48eb-81f3-9926be169de1"/>
    <ds:schemaRef ds:uri="a282a1aa-5419-4ebd-b371-a6c920673237"/>
    <ds:schemaRef ds:uri="f3351373-2b59-4a46-949d-f42afd8cf7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5B2E3-F87D-46A3-B5F1-3DD87C68188B}">
  <ds:schemaRefs>
    <ds:schemaRef ds:uri="http://schemas.microsoft.com/office/2006/metadata/properties"/>
    <ds:schemaRef ds:uri="http://schemas.microsoft.com/office/infopath/2007/PartnerControls"/>
    <ds:schemaRef ds:uri="a4f595d6-b4d5-48eb-81f3-9926be169de1"/>
    <ds:schemaRef ds:uri="f3351373-2b59-4a46-949d-f42afd8cf7c2"/>
  </ds:schemaRefs>
</ds:datastoreItem>
</file>

<file path=customXml/itemProps4.xml><?xml version="1.0" encoding="utf-8"?>
<ds:datastoreItem xmlns:ds="http://schemas.openxmlformats.org/officeDocument/2006/customXml" ds:itemID="{ABA10500-EFC3-4E97-885D-E2251BA0C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2916</Words>
  <Characters>16622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2026-05-14T17:04:02Z</dcterms:created>
  <dcterms:modified xsi:type="dcterms:W3CDTF">2026-05-14T17:04:02Z</dcterms:modified>
</cp:coreProperties>
</file>